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05EEE" w14:textId="1CBACCE6" w:rsidR="005E7DD1" w:rsidRDefault="00DE2641" w:rsidP="00DE2641">
      <w:pPr>
        <w:jc w:val="center"/>
        <w:rPr>
          <w:rFonts w:asciiTheme="minorHAnsi" w:hAnsiTheme="minorHAnsi" w:cstheme="minorHAnsi"/>
          <w:b/>
          <w:color w:val="4472C4" w:themeColor="accent1"/>
        </w:rPr>
      </w:pPr>
      <w:r>
        <w:rPr>
          <w:rFonts w:asciiTheme="minorHAnsi" w:hAnsiTheme="minorHAnsi" w:cstheme="minorHAnsi"/>
          <w:b/>
          <w:noProof/>
          <w:color w:val="4472C4" w:themeColor="accent1"/>
        </w:rPr>
        <w:drawing>
          <wp:inline distT="0" distB="0" distL="0" distR="0" wp14:anchorId="7BDCD70E" wp14:editId="69FEF622">
            <wp:extent cx="4656667" cy="1585966"/>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5 at 3.39.23 PM.png"/>
                    <pic:cNvPicPr/>
                  </pic:nvPicPr>
                  <pic:blipFill>
                    <a:blip r:embed="rId7">
                      <a:extLst>
                        <a:ext uri="{28A0092B-C50C-407E-A947-70E740481C1C}">
                          <a14:useLocalDpi xmlns:a14="http://schemas.microsoft.com/office/drawing/2010/main" val="0"/>
                        </a:ext>
                      </a:extLst>
                    </a:blip>
                    <a:stretch>
                      <a:fillRect/>
                    </a:stretch>
                  </pic:blipFill>
                  <pic:spPr>
                    <a:xfrm>
                      <a:off x="0" y="0"/>
                      <a:ext cx="4665354" cy="1588925"/>
                    </a:xfrm>
                    <a:prstGeom prst="rect">
                      <a:avLst/>
                    </a:prstGeom>
                  </pic:spPr>
                </pic:pic>
              </a:graphicData>
            </a:graphic>
          </wp:inline>
        </w:drawing>
      </w:r>
    </w:p>
    <w:p w14:paraId="7A790C4E" w14:textId="77777777" w:rsidR="005E7DD1" w:rsidRPr="005E7DD1" w:rsidRDefault="005E7DD1" w:rsidP="005E7DD1">
      <w:pPr>
        <w:jc w:val="right"/>
        <w:rPr>
          <w:rFonts w:asciiTheme="minorHAnsi" w:hAnsiTheme="minorHAnsi" w:cstheme="minorHAnsi"/>
          <w:b/>
          <w:color w:val="4472C4" w:themeColor="accent1"/>
        </w:rPr>
      </w:pPr>
    </w:p>
    <w:p w14:paraId="5480325D" w14:textId="45534A1A" w:rsidR="00DE2641" w:rsidRDefault="00DE2641" w:rsidP="00DE1E77">
      <w:pPr>
        <w:rPr>
          <w:rFonts w:asciiTheme="minorHAnsi" w:hAnsiTheme="minorHAnsi" w:cstheme="minorHAnsi"/>
          <w:b/>
          <w:color w:val="4472C4" w:themeColor="accent1"/>
        </w:rPr>
      </w:pPr>
    </w:p>
    <w:p w14:paraId="7259507E" w14:textId="6771DC52" w:rsidR="00DE2641" w:rsidRDefault="00DE2641" w:rsidP="00DE2641">
      <w:pPr>
        <w:jc w:val="center"/>
        <w:rPr>
          <w:rFonts w:asciiTheme="minorHAnsi" w:hAnsiTheme="minorHAnsi" w:cstheme="minorHAnsi"/>
          <w:b/>
          <w:color w:val="4472C4" w:themeColor="accent1"/>
        </w:rPr>
      </w:pPr>
      <w:r>
        <w:rPr>
          <w:rFonts w:asciiTheme="minorHAnsi" w:hAnsiTheme="minorHAnsi" w:cstheme="minorHAnsi"/>
          <w:b/>
          <w:color w:val="4472C4" w:themeColor="accent1"/>
        </w:rPr>
        <w:t xml:space="preserve">CANNABIS IN CALIFORNIA’S CITIES AND COUNTIES: THE STATE OF CANNABIS </w:t>
      </w:r>
    </w:p>
    <w:p w14:paraId="274EAA47" w14:textId="16C72EC1" w:rsidR="00DE2641" w:rsidRDefault="00DE2641" w:rsidP="00DE2641">
      <w:pPr>
        <w:jc w:val="center"/>
        <w:rPr>
          <w:rFonts w:asciiTheme="minorHAnsi" w:hAnsiTheme="minorHAnsi" w:cstheme="minorHAnsi"/>
          <w:b/>
          <w:color w:val="4472C4" w:themeColor="accent1"/>
        </w:rPr>
      </w:pPr>
      <w:r>
        <w:rPr>
          <w:rFonts w:asciiTheme="minorHAnsi" w:hAnsiTheme="minorHAnsi" w:cstheme="minorHAnsi"/>
          <w:b/>
          <w:color w:val="4472C4" w:themeColor="accent1"/>
        </w:rPr>
        <w:t>SCORECARD METHODOLOGY</w:t>
      </w:r>
    </w:p>
    <w:p w14:paraId="1E67FBA9" w14:textId="77777777" w:rsidR="00DE2641" w:rsidRDefault="00DE2641" w:rsidP="00DE2641">
      <w:pPr>
        <w:jc w:val="center"/>
        <w:rPr>
          <w:rFonts w:asciiTheme="minorHAnsi" w:hAnsiTheme="minorHAnsi" w:cstheme="minorHAnsi"/>
          <w:b/>
          <w:color w:val="4472C4" w:themeColor="accent1"/>
        </w:rPr>
      </w:pPr>
    </w:p>
    <w:p w14:paraId="24BABD89" w14:textId="77777777" w:rsidR="00DE2641" w:rsidRDefault="00DE2641" w:rsidP="00DE1E77">
      <w:pPr>
        <w:rPr>
          <w:rFonts w:asciiTheme="minorHAnsi" w:hAnsiTheme="minorHAnsi" w:cstheme="minorHAnsi"/>
          <w:b/>
          <w:color w:val="4472C4" w:themeColor="accent1"/>
        </w:rPr>
      </w:pPr>
    </w:p>
    <w:p w14:paraId="631E0596" w14:textId="7742B0A9" w:rsidR="002C4495" w:rsidRDefault="005E7DD1" w:rsidP="00DE1E77">
      <w:pPr>
        <w:rPr>
          <w:rFonts w:asciiTheme="minorHAnsi" w:hAnsiTheme="minorHAnsi" w:cstheme="minorHAnsi"/>
          <w:b/>
          <w:color w:val="4472C4" w:themeColor="accent1"/>
        </w:rPr>
      </w:pPr>
      <w:r>
        <w:rPr>
          <w:rFonts w:asciiTheme="minorHAnsi" w:hAnsiTheme="minorHAnsi" w:cstheme="minorHAnsi"/>
          <w:b/>
          <w:color w:val="4472C4" w:themeColor="accent1"/>
        </w:rPr>
        <w:t>INTRODUCTION</w:t>
      </w:r>
    </w:p>
    <w:p w14:paraId="6B5607FA" w14:textId="77777777" w:rsidR="005E7DD1" w:rsidRPr="005E7DD1" w:rsidRDefault="005E7DD1" w:rsidP="00DE1E77">
      <w:pPr>
        <w:rPr>
          <w:rFonts w:asciiTheme="minorHAnsi" w:hAnsiTheme="minorHAnsi" w:cstheme="minorHAnsi"/>
          <w:b/>
          <w:color w:val="4472C4" w:themeColor="accent1"/>
        </w:rPr>
      </w:pPr>
    </w:p>
    <w:p w14:paraId="088F225A" w14:textId="14F1388D" w:rsidR="00DE2641" w:rsidRDefault="00782480" w:rsidP="00EA7BF8">
      <w:pPr>
        <w:jc w:val="both"/>
        <w:rPr>
          <w:rFonts w:asciiTheme="minorHAnsi" w:hAnsiTheme="minorHAnsi" w:cstheme="minorHAnsi"/>
        </w:rPr>
      </w:pPr>
      <w:r>
        <w:rPr>
          <w:rFonts w:asciiTheme="minorHAnsi" w:hAnsiTheme="minorHAnsi" w:cstheme="minorHAnsi"/>
        </w:rPr>
        <w:t xml:space="preserve">Legalization </w:t>
      </w:r>
      <w:r w:rsidR="003977F2">
        <w:rPr>
          <w:rFonts w:asciiTheme="minorHAnsi" w:hAnsiTheme="minorHAnsi" w:cstheme="minorHAnsi"/>
        </w:rPr>
        <w:t xml:space="preserve">of cannabis </w:t>
      </w:r>
      <w:r>
        <w:rPr>
          <w:rFonts w:asciiTheme="minorHAnsi" w:hAnsiTheme="minorHAnsi" w:cstheme="minorHAnsi"/>
        </w:rPr>
        <w:t>has potential social benefits as well as significant harms</w:t>
      </w:r>
      <w:r w:rsidR="004B18C5">
        <w:rPr>
          <w:rFonts w:asciiTheme="minorHAnsi" w:hAnsiTheme="minorHAnsi" w:cstheme="minorHAnsi"/>
        </w:rPr>
        <w:t>, t</w:t>
      </w:r>
      <w:r w:rsidR="004B18C5" w:rsidRPr="005E7DD1">
        <w:rPr>
          <w:rFonts w:asciiTheme="minorHAnsi" w:hAnsiTheme="minorHAnsi" w:cstheme="minorHAnsi"/>
        </w:rPr>
        <w:t xml:space="preserve">his </w:t>
      </w:r>
      <w:r w:rsidR="004B18C5" w:rsidRPr="008C70EE">
        <w:rPr>
          <w:rFonts w:asciiTheme="minorHAnsi" w:hAnsiTheme="minorHAnsi" w:cstheme="minorHAnsi"/>
          <w:b/>
          <w:bCs/>
        </w:rPr>
        <w:t>State of Cannabis Scorecard</w:t>
      </w:r>
      <w:r w:rsidR="004B18C5" w:rsidRPr="005E7DD1">
        <w:rPr>
          <w:rFonts w:asciiTheme="minorHAnsi" w:hAnsiTheme="minorHAnsi" w:cstheme="minorHAnsi"/>
        </w:rPr>
        <w:t xml:space="preserve"> </w:t>
      </w:r>
      <w:r w:rsidR="004B18C5">
        <w:rPr>
          <w:rFonts w:asciiTheme="minorHAnsi" w:hAnsiTheme="minorHAnsi" w:cstheme="minorHAnsi"/>
        </w:rPr>
        <w:t>summarize</w:t>
      </w:r>
      <w:r w:rsidR="00B51622">
        <w:rPr>
          <w:rFonts w:asciiTheme="minorHAnsi" w:hAnsiTheme="minorHAnsi" w:cstheme="minorHAnsi"/>
        </w:rPr>
        <w:t>s how</w:t>
      </w:r>
      <w:r w:rsidR="004B18C5" w:rsidRPr="005E7DD1">
        <w:rPr>
          <w:rFonts w:asciiTheme="minorHAnsi" w:hAnsiTheme="minorHAnsi" w:cstheme="minorHAnsi"/>
        </w:rPr>
        <w:t xml:space="preserve"> California cities and counties that have </w:t>
      </w:r>
      <w:r w:rsidR="004B18C5">
        <w:rPr>
          <w:rFonts w:asciiTheme="minorHAnsi" w:hAnsiTheme="minorHAnsi" w:cstheme="minorHAnsi"/>
        </w:rPr>
        <w:t xml:space="preserve">opted to </w:t>
      </w:r>
      <w:r w:rsidR="004B18C5" w:rsidRPr="005E7DD1">
        <w:rPr>
          <w:rFonts w:asciiTheme="minorHAnsi" w:hAnsiTheme="minorHAnsi" w:cstheme="minorHAnsi"/>
        </w:rPr>
        <w:t>legalize cannabis retail</w:t>
      </w:r>
      <w:r w:rsidR="004B18C5">
        <w:rPr>
          <w:rFonts w:asciiTheme="minorHAnsi" w:hAnsiTheme="minorHAnsi" w:cstheme="minorHAnsi"/>
        </w:rPr>
        <w:t xml:space="preserve"> sales</w:t>
      </w:r>
      <w:r w:rsidR="003B6C8F">
        <w:rPr>
          <w:rFonts w:asciiTheme="minorHAnsi" w:hAnsiTheme="minorHAnsi" w:cstheme="minorHAnsi"/>
        </w:rPr>
        <w:t xml:space="preserve"> </w:t>
      </w:r>
      <w:r w:rsidR="004B18C5" w:rsidRPr="005E7DD1">
        <w:rPr>
          <w:rFonts w:asciiTheme="minorHAnsi" w:hAnsiTheme="minorHAnsi" w:cstheme="minorHAnsi"/>
        </w:rPr>
        <w:t xml:space="preserve">have </w:t>
      </w:r>
      <w:r w:rsidR="004B18C5">
        <w:rPr>
          <w:rFonts w:asciiTheme="minorHAnsi" w:hAnsiTheme="minorHAnsi" w:cstheme="minorHAnsi"/>
        </w:rPr>
        <w:t xml:space="preserve">navigated this challenge. </w:t>
      </w:r>
      <w:r w:rsidR="00E377DE">
        <w:rPr>
          <w:rFonts w:asciiTheme="minorHAnsi" w:hAnsiTheme="minorHAnsi" w:cstheme="minorHAnsi"/>
        </w:rPr>
        <w:t>As</w:t>
      </w:r>
      <w:r>
        <w:rPr>
          <w:rFonts w:asciiTheme="minorHAnsi" w:hAnsiTheme="minorHAnsi" w:cstheme="minorHAnsi"/>
        </w:rPr>
        <w:t xml:space="preserve"> the transition to a legal market moves forward</w:t>
      </w:r>
      <w:r w:rsidR="004B18C5">
        <w:rPr>
          <w:rFonts w:asciiTheme="minorHAnsi" w:hAnsiTheme="minorHAnsi" w:cstheme="minorHAnsi"/>
        </w:rPr>
        <w:t xml:space="preserve"> in California</w:t>
      </w:r>
      <w:r>
        <w:rPr>
          <w:rFonts w:asciiTheme="minorHAnsi" w:hAnsiTheme="minorHAnsi" w:cstheme="minorHAnsi"/>
        </w:rPr>
        <w:t xml:space="preserve">, </w:t>
      </w:r>
      <w:r w:rsidR="004B18C5">
        <w:rPr>
          <w:rFonts w:asciiTheme="minorHAnsi" w:hAnsiTheme="minorHAnsi" w:cstheme="minorHAnsi"/>
        </w:rPr>
        <w:t>communities have a collective responsibility to act to protect youth and keep this emerging market from boiling over in harmful ways.</w:t>
      </w:r>
      <w:r w:rsidR="003B6C8F">
        <w:rPr>
          <w:rFonts w:asciiTheme="minorHAnsi" w:hAnsiTheme="minorHAnsi" w:cstheme="minorHAnsi"/>
        </w:rPr>
        <w:t xml:space="preserve"> </w:t>
      </w:r>
      <w:r w:rsidR="004B18C5">
        <w:rPr>
          <w:rFonts w:asciiTheme="minorHAnsi" w:hAnsiTheme="minorHAnsi" w:cstheme="minorHAnsi"/>
        </w:rPr>
        <w:t>R</w:t>
      </w:r>
      <w:r w:rsidR="00DE1E77" w:rsidRPr="005E7DD1">
        <w:rPr>
          <w:rFonts w:asciiTheme="minorHAnsi" w:hAnsiTheme="minorHAnsi" w:cstheme="minorHAnsi"/>
        </w:rPr>
        <w:t>ecognition and prevention of risks</w:t>
      </w:r>
      <w:r>
        <w:rPr>
          <w:rFonts w:asciiTheme="minorHAnsi" w:hAnsiTheme="minorHAnsi" w:cstheme="minorHAnsi"/>
        </w:rPr>
        <w:t xml:space="preserve"> to public health</w:t>
      </w:r>
      <w:r w:rsidR="00F94D7B">
        <w:rPr>
          <w:rFonts w:asciiTheme="minorHAnsi" w:hAnsiTheme="minorHAnsi" w:cstheme="minorHAnsi"/>
        </w:rPr>
        <w:t xml:space="preserve"> </w:t>
      </w:r>
      <w:r w:rsidR="00DE1E77" w:rsidRPr="005E7DD1">
        <w:rPr>
          <w:rFonts w:asciiTheme="minorHAnsi" w:hAnsiTheme="minorHAnsi" w:cstheme="minorHAnsi"/>
        </w:rPr>
        <w:t>due to cannabis use</w:t>
      </w:r>
      <w:r>
        <w:rPr>
          <w:rFonts w:asciiTheme="minorHAnsi" w:hAnsiTheme="minorHAnsi" w:cstheme="minorHAnsi"/>
        </w:rPr>
        <w:t xml:space="preserve"> and to the characteristics of the emerging market is needed. </w:t>
      </w:r>
      <w:r w:rsidR="004B18C5">
        <w:rPr>
          <w:rFonts w:asciiTheme="minorHAnsi" w:hAnsiTheme="minorHAnsi" w:cstheme="minorHAnsi"/>
        </w:rPr>
        <w:t>Sensible and effective r</w:t>
      </w:r>
      <w:r w:rsidR="00DE1E77" w:rsidRPr="005E7DD1">
        <w:rPr>
          <w:rFonts w:asciiTheme="minorHAnsi" w:hAnsiTheme="minorHAnsi" w:cstheme="minorHAnsi"/>
        </w:rPr>
        <w:t xml:space="preserve">egulatory measures </w:t>
      </w:r>
      <w:r>
        <w:rPr>
          <w:rFonts w:asciiTheme="minorHAnsi" w:hAnsiTheme="minorHAnsi" w:cstheme="minorHAnsi"/>
        </w:rPr>
        <w:t>are essential to</w:t>
      </w:r>
      <w:r w:rsidR="00F94D7B">
        <w:rPr>
          <w:rFonts w:asciiTheme="minorHAnsi" w:hAnsiTheme="minorHAnsi" w:cstheme="minorHAnsi"/>
        </w:rPr>
        <w:t xml:space="preserve"> </w:t>
      </w:r>
      <w:r w:rsidR="00DE1E77" w:rsidRPr="005E7DD1">
        <w:rPr>
          <w:rFonts w:asciiTheme="minorHAnsi" w:hAnsiTheme="minorHAnsi" w:cstheme="minorHAnsi"/>
        </w:rPr>
        <w:t xml:space="preserve">reduce </w:t>
      </w:r>
      <w:r w:rsidR="00B51622">
        <w:rPr>
          <w:rFonts w:asciiTheme="minorHAnsi" w:hAnsiTheme="minorHAnsi" w:cstheme="minorHAnsi"/>
        </w:rPr>
        <w:t xml:space="preserve">these </w:t>
      </w:r>
      <w:r w:rsidR="00DE1E77" w:rsidRPr="005E7DD1">
        <w:rPr>
          <w:rFonts w:asciiTheme="minorHAnsi" w:hAnsiTheme="minorHAnsi" w:cstheme="minorHAnsi"/>
        </w:rPr>
        <w:t>resultant harms. Of particular concern</w:t>
      </w:r>
      <w:r>
        <w:rPr>
          <w:rFonts w:asciiTheme="minorHAnsi" w:hAnsiTheme="minorHAnsi" w:cstheme="minorHAnsi"/>
        </w:rPr>
        <w:t>,</w:t>
      </w:r>
      <w:r w:rsidR="00DE1E77" w:rsidRPr="005E7DD1">
        <w:rPr>
          <w:rFonts w:asciiTheme="minorHAnsi" w:hAnsiTheme="minorHAnsi" w:cstheme="minorHAnsi"/>
        </w:rPr>
        <w:t xml:space="preserve"> is the impact of legalization on youth below age 25, because research suggests that use among youth carries special risks to the developing brain.</w:t>
      </w:r>
      <w:r w:rsidR="00DE1E77" w:rsidRPr="005E7DD1">
        <w:rPr>
          <w:rStyle w:val="FootnoteReference"/>
          <w:rFonts w:asciiTheme="minorHAnsi" w:hAnsiTheme="minorHAnsi" w:cstheme="minorHAnsi"/>
        </w:rPr>
        <w:footnoteReference w:id="1"/>
      </w:r>
      <w:r w:rsidR="007A6306">
        <w:rPr>
          <w:rFonts w:asciiTheme="minorHAnsi" w:hAnsiTheme="minorHAnsi" w:cstheme="minorHAnsi"/>
        </w:rPr>
        <w:t xml:space="preserve"> </w:t>
      </w:r>
      <w:r>
        <w:rPr>
          <w:rFonts w:asciiTheme="minorHAnsi" w:hAnsiTheme="minorHAnsi" w:cstheme="minorHAnsi"/>
        </w:rPr>
        <w:t>P</w:t>
      </w:r>
      <w:r w:rsidR="00DE1E77" w:rsidRPr="005E7DD1">
        <w:rPr>
          <w:rFonts w:asciiTheme="minorHAnsi" w:hAnsiTheme="minorHAnsi" w:cstheme="minorHAnsi"/>
        </w:rPr>
        <w:t>erception of risk from cannabis consumption has been falling steadily, dropping from 58.3% to 31.1% among youth nationally between 2000 and 2016</w:t>
      </w:r>
      <w:r w:rsidR="00AA18A0">
        <w:rPr>
          <w:rFonts w:asciiTheme="minorHAnsi" w:hAnsiTheme="minorHAnsi" w:cstheme="minorHAnsi"/>
        </w:rPr>
        <w:t>,</w:t>
      </w:r>
      <w:r w:rsidR="00F94D7B">
        <w:rPr>
          <w:rFonts w:asciiTheme="minorHAnsi" w:hAnsiTheme="minorHAnsi" w:cstheme="minorHAnsi"/>
        </w:rPr>
        <w:t xml:space="preserve"> </w:t>
      </w:r>
      <w:r>
        <w:rPr>
          <w:rFonts w:asciiTheme="minorHAnsi" w:hAnsiTheme="minorHAnsi" w:cstheme="minorHAnsi"/>
        </w:rPr>
        <w:t xml:space="preserve">while simultaneously </w:t>
      </w:r>
      <w:r w:rsidR="00DE1E77" w:rsidRPr="005E7DD1">
        <w:rPr>
          <w:rFonts w:asciiTheme="minorHAnsi" w:hAnsiTheme="minorHAnsi" w:cstheme="minorHAnsi"/>
        </w:rPr>
        <w:t xml:space="preserve">youth use has significantly increased. </w:t>
      </w:r>
      <w:r>
        <w:rPr>
          <w:rFonts w:asciiTheme="minorHAnsi" w:hAnsiTheme="minorHAnsi" w:cstheme="minorHAnsi"/>
        </w:rPr>
        <w:t xml:space="preserve">The 2019 Monitoring the Future survey demonstrated a </w:t>
      </w:r>
      <w:r w:rsidR="004B18C5">
        <w:rPr>
          <w:rFonts w:asciiTheme="minorHAnsi" w:hAnsiTheme="minorHAnsi" w:cstheme="minorHAnsi"/>
        </w:rPr>
        <w:t xml:space="preserve">that cannabis use is at a </w:t>
      </w:r>
      <w:r>
        <w:rPr>
          <w:rFonts w:asciiTheme="minorHAnsi" w:hAnsiTheme="minorHAnsi" w:cstheme="minorHAnsi"/>
        </w:rPr>
        <w:t xml:space="preserve">35 year high </w:t>
      </w:r>
      <w:r w:rsidR="004B18C5">
        <w:rPr>
          <w:rFonts w:asciiTheme="minorHAnsi" w:hAnsiTheme="minorHAnsi" w:cstheme="minorHAnsi"/>
        </w:rPr>
        <w:t>among</w:t>
      </w:r>
      <w:r>
        <w:rPr>
          <w:rFonts w:asciiTheme="minorHAnsi" w:hAnsiTheme="minorHAnsi" w:cstheme="minorHAnsi"/>
        </w:rPr>
        <w:t xml:space="preserve"> college age youth, </w:t>
      </w:r>
      <w:r w:rsidR="00B51622">
        <w:rPr>
          <w:rFonts w:asciiTheme="minorHAnsi" w:hAnsiTheme="minorHAnsi" w:cstheme="minorHAnsi"/>
        </w:rPr>
        <w:t xml:space="preserve">and </w:t>
      </w:r>
      <w:r w:rsidR="004B18C5">
        <w:rPr>
          <w:rFonts w:asciiTheme="minorHAnsi" w:hAnsiTheme="minorHAnsi" w:cstheme="minorHAnsi"/>
        </w:rPr>
        <w:t xml:space="preserve">found </w:t>
      </w:r>
      <w:r>
        <w:rPr>
          <w:rFonts w:asciiTheme="minorHAnsi" w:hAnsiTheme="minorHAnsi" w:cstheme="minorHAnsi"/>
        </w:rPr>
        <w:t>marked increases in daily use in that age range,</w:t>
      </w:r>
      <w:r w:rsidR="004B18C5">
        <w:rPr>
          <w:rFonts w:asciiTheme="minorHAnsi" w:hAnsiTheme="minorHAnsi" w:cstheme="minorHAnsi"/>
        </w:rPr>
        <w:t xml:space="preserve"> </w:t>
      </w:r>
      <w:r>
        <w:rPr>
          <w:rFonts w:asciiTheme="minorHAnsi" w:hAnsiTheme="minorHAnsi" w:cstheme="minorHAnsi"/>
        </w:rPr>
        <w:t xml:space="preserve">a doubling of </w:t>
      </w:r>
      <w:r w:rsidR="00F94D7B">
        <w:rPr>
          <w:rFonts w:asciiTheme="minorHAnsi" w:hAnsiTheme="minorHAnsi" w:cstheme="minorHAnsi"/>
        </w:rPr>
        <w:t>cannabis</w:t>
      </w:r>
      <w:r>
        <w:rPr>
          <w:rFonts w:asciiTheme="minorHAnsi" w:hAnsiTheme="minorHAnsi" w:cstheme="minorHAnsi"/>
        </w:rPr>
        <w:t xml:space="preserve"> vaping between 2017 and 2018 in college students, and dramatic increases in </w:t>
      </w:r>
      <w:r w:rsidR="00E065DE">
        <w:rPr>
          <w:rFonts w:asciiTheme="minorHAnsi" w:hAnsiTheme="minorHAnsi" w:cstheme="minorHAnsi"/>
        </w:rPr>
        <w:t>tetrahydrocannabinol (</w:t>
      </w:r>
      <w:r>
        <w:rPr>
          <w:rFonts w:asciiTheme="minorHAnsi" w:hAnsiTheme="minorHAnsi" w:cstheme="minorHAnsi"/>
        </w:rPr>
        <w:t>THC</w:t>
      </w:r>
      <w:r w:rsidR="00E065DE">
        <w:rPr>
          <w:rFonts w:asciiTheme="minorHAnsi" w:hAnsiTheme="minorHAnsi" w:cstheme="minorHAnsi"/>
        </w:rPr>
        <w:t>)</w:t>
      </w:r>
      <w:r>
        <w:rPr>
          <w:rFonts w:asciiTheme="minorHAnsi" w:hAnsiTheme="minorHAnsi" w:cstheme="minorHAnsi"/>
        </w:rPr>
        <w:t xml:space="preserve"> vaping in 8</w:t>
      </w:r>
      <w:r w:rsidRPr="00E377DE">
        <w:rPr>
          <w:rFonts w:asciiTheme="minorHAnsi" w:hAnsiTheme="minorHAnsi" w:cstheme="minorHAnsi"/>
          <w:vertAlign w:val="superscript"/>
        </w:rPr>
        <w:t>th</w:t>
      </w:r>
      <w:r>
        <w:rPr>
          <w:rFonts w:asciiTheme="minorHAnsi" w:hAnsiTheme="minorHAnsi" w:cstheme="minorHAnsi"/>
        </w:rPr>
        <w:t>, 10</w:t>
      </w:r>
      <w:r w:rsidRPr="00E377DE">
        <w:rPr>
          <w:rFonts w:asciiTheme="minorHAnsi" w:hAnsiTheme="minorHAnsi" w:cstheme="minorHAnsi"/>
          <w:vertAlign w:val="superscript"/>
        </w:rPr>
        <w:t>th</w:t>
      </w:r>
      <w:r>
        <w:rPr>
          <w:rFonts w:asciiTheme="minorHAnsi" w:hAnsiTheme="minorHAnsi" w:cstheme="minorHAnsi"/>
        </w:rPr>
        <w:t xml:space="preserve"> and 12</w:t>
      </w:r>
      <w:r w:rsidRPr="00E377DE">
        <w:rPr>
          <w:rFonts w:asciiTheme="minorHAnsi" w:hAnsiTheme="minorHAnsi" w:cstheme="minorHAnsi"/>
          <w:vertAlign w:val="superscript"/>
        </w:rPr>
        <w:t>th</w:t>
      </w:r>
      <w:r>
        <w:rPr>
          <w:rFonts w:asciiTheme="minorHAnsi" w:hAnsiTheme="minorHAnsi" w:cstheme="minorHAnsi"/>
        </w:rPr>
        <w:t xml:space="preserve"> graders.</w:t>
      </w:r>
      <w:r w:rsidR="00F94D7B">
        <w:rPr>
          <w:rFonts w:asciiTheme="minorHAnsi" w:hAnsiTheme="minorHAnsi" w:cstheme="minorHAnsi"/>
        </w:rPr>
        <w:t xml:space="preserve"> </w:t>
      </w:r>
      <w:r w:rsidR="00DE1E77" w:rsidRPr="005E7DD1">
        <w:rPr>
          <w:rFonts w:asciiTheme="minorHAnsi" w:hAnsiTheme="minorHAnsi" w:cstheme="minorHAnsi"/>
        </w:rPr>
        <w:t>In 201</w:t>
      </w:r>
      <w:r w:rsidR="00E377DE">
        <w:rPr>
          <w:rFonts w:asciiTheme="minorHAnsi" w:hAnsiTheme="minorHAnsi" w:cstheme="minorHAnsi"/>
        </w:rPr>
        <w:t>5</w:t>
      </w:r>
      <w:r w:rsidR="00DE1E77" w:rsidRPr="005E7DD1">
        <w:rPr>
          <w:rFonts w:asciiTheme="minorHAnsi" w:hAnsiTheme="minorHAnsi" w:cstheme="minorHAnsi"/>
        </w:rPr>
        <w:t>-201</w:t>
      </w:r>
      <w:r w:rsidR="00E377DE">
        <w:rPr>
          <w:rFonts w:asciiTheme="minorHAnsi" w:hAnsiTheme="minorHAnsi" w:cstheme="minorHAnsi"/>
        </w:rPr>
        <w:t>7</w:t>
      </w:r>
      <w:r w:rsidR="00DE1E77" w:rsidRPr="005E7DD1">
        <w:rPr>
          <w:rFonts w:asciiTheme="minorHAnsi" w:hAnsiTheme="minorHAnsi" w:cstheme="minorHAnsi"/>
        </w:rPr>
        <w:t xml:space="preserve"> surveys, over </w:t>
      </w:r>
      <w:r w:rsidR="00E377DE">
        <w:rPr>
          <w:rFonts w:asciiTheme="minorHAnsi" w:hAnsiTheme="minorHAnsi" w:cstheme="minorHAnsi"/>
        </w:rPr>
        <w:t xml:space="preserve">30 </w:t>
      </w:r>
      <w:r w:rsidR="00DE1E77" w:rsidRPr="005E7DD1">
        <w:rPr>
          <w:rFonts w:asciiTheme="minorHAnsi" w:hAnsiTheme="minorHAnsi" w:cstheme="minorHAnsi"/>
        </w:rPr>
        <w:t>percent of 11</w:t>
      </w:r>
      <w:r w:rsidR="00DE1E77" w:rsidRPr="005E7DD1">
        <w:rPr>
          <w:rFonts w:asciiTheme="minorHAnsi" w:hAnsiTheme="minorHAnsi" w:cstheme="minorHAnsi"/>
          <w:vertAlign w:val="superscript"/>
        </w:rPr>
        <w:t>th</w:t>
      </w:r>
      <w:r w:rsidR="00DE1E77" w:rsidRPr="005E7DD1">
        <w:rPr>
          <w:rFonts w:asciiTheme="minorHAnsi" w:hAnsiTheme="minorHAnsi" w:cstheme="minorHAnsi"/>
        </w:rPr>
        <w:t xml:space="preserve"> grade students in California stated they had ever used cannabis, a number far exceeding that for tobacco use, and </w:t>
      </w:r>
      <w:r w:rsidR="004B18C5">
        <w:rPr>
          <w:rFonts w:asciiTheme="minorHAnsi" w:hAnsiTheme="minorHAnsi" w:cstheme="minorHAnsi"/>
        </w:rPr>
        <w:t>one</w:t>
      </w:r>
      <w:r w:rsidR="00DE1E77" w:rsidRPr="005E7DD1">
        <w:rPr>
          <w:rFonts w:asciiTheme="minorHAnsi" w:hAnsiTheme="minorHAnsi" w:cstheme="minorHAnsi"/>
        </w:rPr>
        <w:t xml:space="preserve"> that should be concerning to all of us. </w:t>
      </w:r>
      <w:r w:rsidR="00B51622">
        <w:rPr>
          <w:rFonts w:asciiTheme="minorHAnsi" w:hAnsiTheme="minorHAnsi" w:cstheme="minorHAnsi"/>
        </w:rPr>
        <w:t>In our own 2019 research with high school age youth we found 27% reported going to school high or getting high at school.</w:t>
      </w:r>
      <w:r w:rsidR="003B6C8F">
        <w:rPr>
          <w:rFonts w:asciiTheme="minorHAnsi" w:hAnsiTheme="minorHAnsi" w:cstheme="minorHAnsi"/>
        </w:rPr>
        <w:t xml:space="preserve"> </w:t>
      </w:r>
      <w:r w:rsidR="00DE1E77" w:rsidRPr="005E7DD1">
        <w:rPr>
          <w:rFonts w:asciiTheme="minorHAnsi" w:hAnsiTheme="minorHAnsi" w:cstheme="minorHAnsi"/>
        </w:rPr>
        <w:t xml:space="preserve">Those who start young and use frequently are at highest risk for addiction and ill effects, therefore minimizing use by this group should be a key </w:t>
      </w:r>
      <w:r w:rsidR="004B18C5">
        <w:rPr>
          <w:rFonts w:asciiTheme="minorHAnsi" w:hAnsiTheme="minorHAnsi" w:cstheme="minorHAnsi"/>
        </w:rPr>
        <w:t xml:space="preserve">policy </w:t>
      </w:r>
      <w:r w:rsidR="00DE1E77" w:rsidRPr="005E7DD1">
        <w:rPr>
          <w:rFonts w:asciiTheme="minorHAnsi" w:hAnsiTheme="minorHAnsi" w:cstheme="minorHAnsi"/>
        </w:rPr>
        <w:t>objective</w:t>
      </w:r>
      <w:r w:rsidR="004B18C5">
        <w:rPr>
          <w:rFonts w:asciiTheme="minorHAnsi" w:hAnsiTheme="minorHAnsi" w:cstheme="minorHAnsi"/>
        </w:rPr>
        <w:t xml:space="preserve"> for communities</w:t>
      </w:r>
      <w:r w:rsidR="00DE1E77" w:rsidRPr="005E7DD1">
        <w:rPr>
          <w:rFonts w:asciiTheme="minorHAnsi" w:hAnsiTheme="minorHAnsi" w:cstheme="minorHAnsi"/>
        </w:rPr>
        <w:t xml:space="preserve">. </w:t>
      </w:r>
      <w:r>
        <w:rPr>
          <w:rFonts w:asciiTheme="minorHAnsi" w:hAnsiTheme="minorHAnsi" w:cstheme="minorHAnsi"/>
        </w:rPr>
        <w:t>Pregnant women, and i</w:t>
      </w:r>
      <w:r w:rsidR="00DE1E77" w:rsidRPr="005E7DD1">
        <w:rPr>
          <w:rFonts w:asciiTheme="minorHAnsi" w:hAnsiTheme="minorHAnsi" w:cstheme="minorHAnsi"/>
        </w:rPr>
        <w:t xml:space="preserve">ndividuals with existing substance abuse and mental health issues </w:t>
      </w:r>
      <w:r w:rsidR="004B18C5">
        <w:rPr>
          <w:rFonts w:asciiTheme="minorHAnsi" w:hAnsiTheme="minorHAnsi" w:cstheme="minorHAnsi"/>
        </w:rPr>
        <w:t xml:space="preserve">also </w:t>
      </w:r>
      <w:r>
        <w:rPr>
          <w:rFonts w:asciiTheme="minorHAnsi" w:hAnsiTheme="minorHAnsi" w:cstheme="minorHAnsi"/>
        </w:rPr>
        <w:t>have specific risks of great concern</w:t>
      </w:r>
      <w:r w:rsidR="008603BA">
        <w:rPr>
          <w:rFonts w:asciiTheme="minorHAnsi" w:hAnsiTheme="minorHAnsi" w:cstheme="minorHAnsi"/>
        </w:rPr>
        <w:t>.</w:t>
      </w:r>
      <w:r w:rsidR="00DE1E77" w:rsidRPr="005E7DD1">
        <w:rPr>
          <w:rFonts w:asciiTheme="minorHAnsi" w:hAnsiTheme="minorHAnsi" w:cstheme="minorHAnsi"/>
        </w:rPr>
        <w:t xml:space="preserve"> </w:t>
      </w:r>
    </w:p>
    <w:p w14:paraId="17B15CFD" w14:textId="77777777" w:rsidR="00DE2641" w:rsidRDefault="00DE2641" w:rsidP="00EA7BF8">
      <w:pPr>
        <w:jc w:val="both"/>
        <w:rPr>
          <w:rFonts w:asciiTheme="minorHAnsi" w:hAnsiTheme="minorHAnsi" w:cstheme="minorHAnsi"/>
        </w:rPr>
      </w:pPr>
    </w:p>
    <w:p w14:paraId="22214769" w14:textId="02CFB806" w:rsidR="00DE1E77" w:rsidRPr="005E7DD1" w:rsidRDefault="00DE1E77" w:rsidP="00EA7BF8">
      <w:pPr>
        <w:jc w:val="both"/>
        <w:rPr>
          <w:rFonts w:asciiTheme="minorHAnsi" w:hAnsiTheme="minorHAnsi" w:cstheme="minorHAnsi"/>
        </w:rPr>
      </w:pPr>
      <w:r w:rsidRPr="005E7DD1">
        <w:rPr>
          <w:rFonts w:asciiTheme="minorHAnsi" w:hAnsiTheme="minorHAnsi" w:cstheme="minorHAnsi"/>
        </w:rPr>
        <w:lastRenderedPageBreak/>
        <w:t>While legal purchase should be reasonably accessible</w:t>
      </w:r>
      <w:r w:rsidR="00782480">
        <w:rPr>
          <w:rFonts w:asciiTheme="minorHAnsi" w:hAnsiTheme="minorHAnsi" w:cstheme="minorHAnsi"/>
        </w:rPr>
        <w:t xml:space="preserve"> in </w:t>
      </w:r>
      <w:r w:rsidR="00B51622">
        <w:rPr>
          <w:rFonts w:asciiTheme="minorHAnsi" w:hAnsiTheme="minorHAnsi" w:cstheme="minorHAnsi"/>
        </w:rPr>
        <w:t xml:space="preserve">communities </w:t>
      </w:r>
      <w:r w:rsidR="00E377DE">
        <w:rPr>
          <w:rFonts w:asciiTheme="minorHAnsi" w:hAnsiTheme="minorHAnsi" w:cstheme="minorHAnsi"/>
        </w:rPr>
        <w:t>that</w:t>
      </w:r>
      <w:r w:rsidR="00782480">
        <w:rPr>
          <w:rFonts w:asciiTheme="minorHAnsi" w:hAnsiTheme="minorHAnsi" w:cstheme="minorHAnsi"/>
        </w:rPr>
        <w:t xml:space="preserve"> have </w:t>
      </w:r>
      <w:r w:rsidR="004B18C5">
        <w:rPr>
          <w:rFonts w:asciiTheme="minorHAnsi" w:hAnsiTheme="minorHAnsi" w:cstheme="minorHAnsi"/>
        </w:rPr>
        <w:t xml:space="preserve">opted to </w:t>
      </w:r>
      <w:r w:rsidR="00782480">
        <w:rPr>
          <w:rFonts w:asciiTheme="minorHAnsi" w:hAnsiTheme="minorHAnsi" w:cstheme="minorHAnsi"/>
        </w:rPr>
        <w:t>legalize</w:t>
      </w:r>
      <w:r w:rsidRPr="005E7DD1">
        <w:rPr>
          <w:rFonts w:asciiTheme="minorHAnsi" w:hAnsiTheme="minorHAnsi" w:cstheme="minorHAnsi"/>
        </w:rPr>
        <w:t>, cannabis should still be managed from a public health perspective as an addictive substance</w:t>
      </w:r>
      <w:r w:rsidRPr="005E7DD1">
        <w:rPr>
          <w:rStyle w:val="FootnoteReference"/>
          <w:rFonts w:asciiTheme="minorHAnsi" w:hAnsiTheme="minorHAnsi" w:cstheme="minorHAnsi"/>
        </w:rPr>
        <w:footnoteReference w:id="2"/>
      </w:r>
      <w:r w:rsidRPr="005E7DD1">
        <w:rPr>
          <w:rFonts w:asciiTheme="minorHAnsi" w:hAnsiTheme="minorHAnsi" w:cstheme="minorHAnsi"/>
        </w:rPr>
        <w:t xml:space="preserve"> rather than as an ordinary commodity on the marketplace. Further, while retail outlets should be available to serve all types of communities, precautions to prevent undue concentration</w:t>
      </w:r>
      <w:r w:rsidRPr="00AA18A0">
        <w:rPr>
          <w:rFonts w:asciiTheme="minorHAnsi" w:hAnsiTheme="minorHAnsi" w:cstheme="minorHAnsi"/>
          <w:color w:val="000000" w:themeColor="text1"/>
        </w:rPr>
        <w:t xml:space="preserve"> and oversaturation should be in place to prevent community level </w:t>
      </w:r>
      <w:r w:rsidRPr="005E7DD1">
        <w:rPr>
          <w:rFonts w:asciiTheme="minorHAnsi" w:hAnsiTheme="minorHAnsi" w:cstheme="minorHAnsi"/>
        </w:rPr>
        <w:t>effects as has been shown to happen for other addictive and commercially available substances, such as alcohol and tobacco. High concentrations of alcohol and tobacco retail facilities exacerbate health and social disparities and greater exposure is linked with greater rates of youth use</w:t>
      </w:r>
      <w:r w:rsidR="00ED3A1B" w:rsidRPr="005E7DD1">
        <w:rPr>
          <w:rFonts w:asciiTheme="minorHAnsi" w:hAnsiTheme="minorHAnsi" w:cstheme="minorHAnsi"/>
        </w:rPr>
        <w:t>.</w:t>
      </w:r>
      <w:r w:rsidR="00ED3A1B" w:rsidRPr="005E7DD1">
        <w:rPr>
          <w:rStyle w:val="FootnoteReference"/>
          <w:rFonts w:asciiTheme="minorHAnsi" w:hAnsiTheme="minorHAnsi" w:cstheme="minorHAnsi"/>
        </w:rPr>
        <w:footnoteReference w:id="3"/>
      </w:r>
      <w:r w:rsidR="008C70EE">
        <w:rPr>
          <w:rFonts w:asciiTheme="minorHAnsi" w:hAnsiTheme="minorHAnsi" w:cstheme="minorHAnsi"/>
        </w:rPr>
        <w:t xml:space="preserve"> </w:t>
      </w:r>
      <w:r w:rsidR="008C70EE">
        <w:rPr>
          <w:rStyle w:val="FootnoteReference"/>
          <w:rFonts w:asciiTheme="minorHAnsi" w:hAnsiTheme="minorHAnsi" w:cstheme="minorHAnsi"/>
        </w:rPr>
        <w:footnoteReference w:id="4"/>
      </w:r>
      <w:r w:rsidR="008C70EE">
        <w:rPr>
          <w:rFonts w:asciiTheme="minorHAnsi" w:hAnsiTheme="minorHAnsi" w:cstheme="minorHAnsi"/>
        </w:rPr>
        <w:t xml:space="preserve"> </w:t>
      </w:r>
      <w:r w:rsidR="008C70EE">
        <w:rPr>
          <w:rStyle w:val="FootnoteReference"/>
          <w:rFonts w:asciiTheme="minorHAnsi" w:hAnsiTheme="minorHAnsi" w:cstheme="minorHAnsi"/>
        </w:rPr>
        <w:footnoteReference w:id="5"/>
      </w:r>
      <w:r w:rsidR="003B6C8F">
        <w:rPr>
          <w:rFonts w:asciiTheme="minorHAnsi" w:hAnsiTheme="minorHAnsi" w:cstheme="minorHAnsi"/>
        </w:rPr>
        <w:t xml:space="preserve"> </w:t>
      </w:r>
      <w:r w:rsidR="00B51622">
        <w:rPr>
          <w:rFonts w:asciiTheme="minorHAnsi" w:hAnsiTheme="minorHAnsi" w:cstheme="minorHAnsi"/>
        </w:rPr>
        <w:t>These</w:t>
      </w:r>
      <w:r w:rsidR="003B6C8F">
        <w:rPr>
          <w:rFonts w:asciiTheme="minorHAnsi" w:hAnsiTheme="minorHAnsi" w:cstheme="minorHAnsi"/>
        </w:rPr>
        <w:t xml:space="preserve"> </w:t>
      </w:r>
      <w:r w:rsidR="00B51622">
        <w:rPr>
          <w:rFonts w:asciiTheme="minorHAnsi" w:hAnsiTheme="minorHAnsi" w:cstheme="minorHAnsi"/>
        </w:rPr>
        <w:t>findings are being repeated for cannabis.</w:t>
      </w:r>
    </w:p>
    <w:p w14:paraId="71BD39B8" w14:textId="520E55DD" w:rsidR="00683A63" w:rsidRPr="005E7DD1" w:rsidRDefault="00683A63" w:rsidP="00EA7BF8">
      <w:pPr>
        <w:jc w:val="both"/>
        <w:rPr>
          <w:rFonts w:asciiTheme="minorHAnsi" w:hAnsiTheme="minorHAnsi" w:cstheme="minorHAnsi"/>
        </w:rPr>
      </w:pPr>
    </w:p>
    <w:p w14:paraId="3DC10DD4" w14:textId="49DC014D" w:rsidR="00DE1E77" w:rsidRPr="005E7DD1" w:rsidRDefault="00DE1E77" w:rsidP="00EA7BF8">
      <w:pPr>
        <w:jc w:val="both"/>
        <w:rPr>
          <w:rFonts w:asciiTheme="minorHAnsi" w:hAnsiTheme="minorHAnsi" w:cstheme="minorHAnsi"/>
        </w:rPr>
      </w:pPr>
      <w:r w:rsidRPr="005E7DD1">
        <w:rPr>
          <w:rFonts w:asciiTheme="minorHAnsi" w:hAnsiTheme="minorHAnsi" w:cstheme="minorHAnsi"/>
        </w:rPr>
        <w:t xml:space="preserve">There are many risks associated with cannabis exposure and use. The National Academies of Science, Engineering and Medicine note that the growing acceptance, accessibility, and use of cannabis and its derivatives have raised important public health concerns, while the lack of </w:t>
      </w:r>
      <w:r w:rsidR="00782480">
        <w:rPr>
          <w:rFonts w:asciiTheme="minorHAnsi" w:hAnsiTheme="minorHAnsi" w:cstheme="minorHAnsi"/>
        </w:rPr>
        <w:t>research on</w:t>
      </w:r>
      <w:r w:rsidR="00F94D7B">
        <w:rPr>
          <w:rFonts w:asciiTheme="minorHAnsi" w:hAnsiTheme="minorHAnsi" w:cstheme="minorHAnsi"/>
        </w:rPr>
        <w:t xml:space="preserve"> </w:t>
      </w:r>
      <w:r w:rsidRPr="005E7DD1">
        <w:rPr>
          <w:rFonts w:asciiTheme="minorHAnsi" w:hAnsiTheme="minorHAnsi" w:cstheme="minorHAnsi"/>
        </w:rPr>
        <w:t>cannabis-related health effects</w:t>
      </w:r>
      <w:r w:rsidR="00782480">
        <w:rPr>
          <w:rFonts w:asciiTheme="minorHAnsi" w:hAnsiTheme="minorHAnsi" w:cstheme="minorHAnsi"/>
        </w:rPr>
        <w:t>, and the</w:t>
      </w:r>
      <w:r w:rsidR="003B6C8F">
        <w:rPr>
          <w:rFonts w:asciiTheme="minorHAnsi" w:hAnsiTheme="minorHAnsi" w:cstheme="minorHAnsi"/>
        </w:rPr>
        <w:t xml:space="preserve"> </w:t>
      </w:r>
      <w:r w:rsidR="004B18C5">
        <w:rPr>
          <w:rFonts w:asciiTheme="minorHAnsi" w:hAnsiTheme="minorHAnsi" w:cstheme="minorHAnsi"/>
        </w:rPr>
        <w:t xml:space="preserve">striking </w:t>
      </w:r>
      <w:r w:rsidR="00782480">
        <w:rPr>
          <w:rFonts w:asciiTheme="minorHAnsi" w:hAnsiTheme="minorHAnsi" w:cstheme="minorHAnsi"/>
        </w:rPr>
        <w:t>transformations in the products themselves</w:t>
      </w:r>
      <w:r w:rsidR="00F94D7B">
        <w:rPr>
          <w:rFonts w:asciiTheme="minorHAnsi" w:hAnsiTheme="minorHAnsi" w:cstheme="minorHAnsi"/>
        </w:rPr>
        <w:t xml:space="preserve"> </w:t>
      </w:r>
      <w:r w:rsidRPr="005E7DD1">
        <w:rPr>
          <w:rFonts w:asciiTheme="minorHAnsi" w:hAnsiTheme="minorHAnsi" w:cstheme="minorHAnsi"/>
        </w:rPr>
        <w:t>ha</w:t>
      </w:r>
      <w:r w:rsidR="00782480">
        <w:rPr>
          <w:rFonts w:asciiTheme="minorHAnsi" w:hAnsiTheme="minorHAnsi" w:cstheme="minorHAnsi"/>
        </w:rPr>
        <w:t>ve</w:t>
      </w:r>
      <w:r w:rsidRPr="005E7DD1">
        <w:rPr>
          <w:rFonts w:asciiTheme="minorHAnsi" w:hAnsiTheme="minorHAnsi" w:cstheme="minorHAnsi"/>
        </w:rPr>
        <w:t xml:space="preserve"> led to uncertainty about the impact of its use.</w:t>
      </w:r>
      <w:r w:rsidR="00DE2641">
        <w:rPr>
          <w:rStyle w:val="FootnoteReference"/>
          <w:rFonts w:asciiTheme="minorHAnsi" w:hAnsiTheme="minorHAnsi" w:cstheme="minorHAnsi"/>
        </w:rPr>
        <w:footnoteReference w:id="6"/>
      </w:r>
      <w:r w:rsidR="007A6306">
        <w:rPr>
          <w:rFonts w:asciiTheme="minorHAnsi" w:hAnsiTheme="minorHAnsi" w:cstheme="minorHAnsi"/>
        </w:rPr>
        <w:t xml:space="preserve"> </w:t>
      </w:r>
      <w:r w:rsidRPr="005E7DD1">
        <w:rPr>
          <w:rFonts w:asciiTheme="minorHAnsi" w:hAnsiTheme="minorHAnsi" w:cstheme="minorHAnsi"/>
        </w:rPr>
        <w:t>We know from tobacco and alcohol that restrictions on products</w:t>
      </w:r>
      <w:r w:rsidR="00782480">
        <w:rPr>
          <w:rFonts w:asciiTheme="minorHAnsi" w:hAnsiTheme="minorHAnsi" w:cstheme="minorHAnsi"/>
        </w:rPr>
        <w:t>, especially those designed to attract youth</w:t>
      </w:r>
      <w:r w:rsidRPr="005E7DD1">
        <w:rPr>
          <w:rFonts w:asciiTheme="minorHAnsi" w:hAnsiTheme="minorHAnsi" w:cstheme="minorHAnsi"/>
        </w:rPr>
        <w:t xml:space="preserve">, </w:t>
      </w:r>
      <w:r w:rsidR="004B18C5">
        <w:rPr>
          <w:rFonts w:asciiTheme="minorHAnsi" w:hAnsiTheme="minorHAnsi" w:cstheme="minorHAnsi"/>
        </w:rPr>
        <w:t xml:space="preserve">number of </w:t>
      </w:r>
      <w:r w:rsidRPr="005E7DD1">
        <w:rPr>
          <w:rFonts w:asciiTheme="minorHAnsi" w:hAnsiTheme="minorHAnsi" w:cstheme="minorHAnsi"/>
        </w:rPr>
        <w:t>retail outlets, marketing and undue concentration are important protective factors</w:t>
      </w:r>
      <w:r w:rsidR="00E377DE">
        <w:rPr>
          <w:rFonts w:asciiTheme="minorHAnsi" w:hAnsiTheme="minorHAnsi" w:cstheme="minorHAnsi"/>
        </w:rPr>
        <w:t>,</w:t>
      </w:r>
      <w:r w:rsidR="00782480">
        <w:rPr>
          <w:rFonts w:asciiTheme="minorHAnsi" w:hAnsiTheme="minorHAnsi" w:cstheme="minorHAnsi"/>
        </w:rPr>
        <w:t xml:space="preserve"> as are </w:t>
      </w:r>
      <w:r w:rsidR="00E377DE">
        <w:rPr>
          <w:rFonts w:asciiTheme="minorHAnsi" w:hAnsiTheme="minorHAnsi" w:cstheme="minorHAnsi"/>
        </w:rPr>
        <w:t>p</w:t>
      </w:r>
      <w:r w:rsidRPr="005E7DD1">
        <w:rPr>
          <w:rFonts w:asciiTheme="minorHAnsi" w:hAnsiTheme="minorHAnsi" w:cstheme="minorHAnsi"/>
        </w:rPr>
        <w:t xml:space="preserve">roviding </w:t>
      </w:r>
      <w:r w:rsidR="00B51622">
        <w:rPr>
          <w:rFonts w:asciiTheme="minorHAnsi" w:hAnsiTheme="minorHAnsi" w:cstheme="minorHAnsi"/>
        </w:rPr>
        <w:t xml:space="preserve">prominent and </w:t>
      </w:r>
      <w:r w:rsidRPr="005E7DD1">
        <w:rPr>
          <w:rFonts w:asciiTheme="minorHAnsi" w:hAnsiTheme="minorHAnsi" w:cstheme="minorHAnsi"/>
        </w:rPr>
        <w:t xml:space="preserve">accurate health </w:t>
      </w:r>
      <w:r w:rsidR="00782480">
        <w:rPr>
          <w:rFonts w:asciiTheme="minorHAnsi" w:hAnsiTheme="minorHAnsi" w:cstheme="minorHAnsi"/>
        </w:rPr>
        <w:t xml:space="preserve">warning </w:t>
      </w:r>
      <w:r w:rsidRPr="005E7DD1">
        <w:rPr>
          <w:rFonts w:asciiTheme="minorHAnsi" w:hAnsiTheme="minorHAnsi" w:cstheme="minorHAnsi"/>
        </w:rPr>
        <w:t xml:space="preserve">information to consumers </w:t>
      </w:r>
      <w:r w:rsidR="00782480">
        <w:rPr>
          <w:rFonts w:asciiTheme="minorHAnsi" w:hAnsiTheme="minorHAnsi" w:cstheme="minorHAnsi"/>
        </w:rPr>
        <w:t xml:space="preserve">and </w:t>
      </w:r>
      <w:r w:rsidRPr="005E7DD1">
        <w:rPr>
          <w:rFonts w:asciiTheme="minorHAnsi" w:hAnsiTheme="minorHAnsi" w:cstheme="minorHAnsi"/>
        </w:rPr>
        <w:t>minimizing the social normalization</w:t>
      </w:r>
      <w:r w:rsidR="00782480">
        <w:rPr>
          <w:rFonts w:asciiTheme="minorHAnsi" w:hAnsiTheme="minorHAnsi" w:cstheme="minorHAnsi"/>
        </w:rPr>
        <w:t xml:space="preserve"> of use.</w:t>
      </w:r>
      <w:r w:rsidR="00F94D7B">
        <w:rPr>
          <w:rFonts w:asciiTheme="minorHAnsi" w:hAnsiTheme="minorHAnsi" w:cstheme="minorHAnsi"/>
        </w:rPr>
        <w:t xml:space="preserve"> </w:t>
      </w:r>
      <w:r w:rsidR="00782480">
        <w:rPr>
          <w:rFonts w:asciiTheme="minorHAnsi" w:hAnsiTheme="minorHAnsi" w:cstheme="minorHAnsi"/>
        </w:rPr>
        <w:t>These approaches should be part of any cannabis regulatory scheme</w:t>
      </w:r>
      <w:r w:rsidR="00E377DE">
        <w:rPr>
          <w:rFonts w:asciiTheme="minorHAnsi" w:hAnsiTheme="minorHAnsi" w:cstheme="minorHAnsi"/>
        </w:rPr>
        <w:t xml:space="preserve">. </w:t>
      </w:r>
      <w:r w:rsidRPr="005E7DD1">
        <w:rPr>
          <w:rFonts w:asciiTheme="minorHAnsi" w:hAnsiTheme="minorHAnsi" w:cstheme="minorHAnsi"/>
        </w:rPr>
        <w:t xml:space="preserve">Furthermore, any </w:t>
      </w:r>
      <w:r w:rsidR="00782480">
        <w:rPr>
          <w:rFonts w:asciiTheme="minorHAnsi" w:hAnsiTheme="minorHAnsi" w:cstheme="minorHAnsi"/>
        </w:rPr>
        <w:t>regulatory</w:t>
      </w:r>
      <w:r w:rsidR="00F94D7B">
        <w:rPr>
          <w:rFonts w:asciiTheme="minorHAnsi" w:hAnsiTheme="minorHAnsi" w:cstheme="minorHAnsi"/>
        </w:rPr>
        <w:t xml:space="preserve"> </w:t>
      </w:r>
      <w:r w:rsidRPr="005E7DD1">
        <w:rPr>
          <w:rFonts w:asciiTheme="minorHAnsi" w:hAnsiTheme="minorHAnsi" w:cstheme="minorHAnsi"/>
        </w:rPr>
        <w:t>scheme should include equity provisions aimed at keeping the financial benefits of legalization in communities hardest hit by the war on drugs and ensur</w:t>
      </w:r>
      <w:r w:rsidR="00782480">
        <w:rPr>
          <w:rFonts w:asciiTheme="minorHAnsi" w:hAnsiTheme="minorHAnsi" w:cstheme="minorHAnsi"/>
        </w:rPr>
        <w:t>e</w:t>
      </w:r>
      <w:r w:rsidRPr="005E7DD1">
        <w:rPr>
          <w:rFonts w:asciiTheme="minorHAnsi" w:hAnsiTheme="minorHAnsi" w:cstheme="minorHAnsi"/>
        </w:rPr>
        <w:t xml:space="preserve"> that cannabis tax dollars go to improving communities, via prevention, equity programs, and youth programs</w:t>
      </w:r>
      <w:r w:rsidR="004B18C5">
        <w:rPr>
          <w:rFonts w:asciiTheme="minorHAnsi" w:hAnsiTheme="minorHAnsi" w:cstheme="minorHAnsi"/>
        </w:rPr>
        <w:t>, rather than additional law enforcement expenditures</w:t>
      </w:r>
      <w:r w:rsidRPr="005E7DD1">
        <w:rPr>
          <w:rFonts w:asciiTheme="minorHAnsi" w:hAnsiTheme="minorHAnsi" w:cstheme="minorHAnsi"/>
        </w:rPr>
        <w:t xml:space="preserve">. </w:t>
      </w:r>
    </w:p>
    <w:p w14:paraId="323C4C2B" w14:textId="77777777" w:rsidR="00DE1E77" w:rsidRPr="005E7DD1" w:rsidRDefault="00DE1E77" w:rsidP="00EA7BF8">
      <w:pPr>
        <w:jc w:val="both"/>
        <w:rPr>
          <w:rFonts w:asciiTheme="minorHAnsi" w:hAnsiTheme="minorHAnsi" w:cstheme="minorHAnsi"/>
        </w:rPr>
      </w:pPr>
      <w:r w:rsidRPr="005E7DD1">
        <w:rPr>
          <w:rFonts w:asciiTheme="minorHAnsi" w:hAnsiTheme="minorHAnsi" w:cstheme="minorHAnsi"/>
        </w:rPr>
        <w:tab/>
      </w:r>
    </w:p>
    <w:p w14:paraId="4E42D268" w14:textId="3E3BDA51" w:rsidR="00DE1E77" w:rsidRPr="005E7DD1" w:rsidRDefault="00DE1E77" w:rsidP="00EA7BF8">
      <w:pPr>
        <w:jc w:val="both"/>
        <w:rPr>
          <w:rFonts w:asciiTheme="minorHAnsi" w:hAnsiTheme="minorHAnsi" w:cstheme="minorHAnsi"/>
        </w:rPr>
      </w:pPr>
      <w:r w:rsidRPr="005E7DD1">
        <w:rPr>
          <w:rFonts w:asciiTheme="minorHAnsi" w:hAnsiTheme="minorHAnsi" w:cstheme="minorHAnsi"/>
        </w:rPr>
        <w:t xml:space="preserve">Under California’s state law and regulations implementing cannabis legalization, the state </w:t>
      </w:r>
      <w:r w:rsidR="004B18C5">
        <w:rPr>
          <w:rFonts w:asciiTheme="minorHAnsi" w:hAnsiTheme="minorHAnsi" w:cstheme="minorHAnsi"/>
        </w:rPr>
        <w:t xml:space="preserve">has opted to </w:t>
      </w:r>
      <w:r w:rsidRPr="005E7DD1">
        <w:rPr>
          <w:rFonts w:asciiTheme="minorHAnsi" w:hAnsiTheme="minorHAnsi" w:cstheme="minorHAnsi"/>
        </w:rPr>
        <w:t>set minimum</w:t>
      </w:r>
      <w:r w:rsidR="004B18C5">
        <w:rPr>
          <w:rFonts w:asciiTheme="minorHAnsi" w:hAnsiTheme="minorHAnsi" w:cstheme="minorHAnsi"/>
        </w:rPr>
        <w:t xml:space="preserve"> criteria</w:t>
      </w:r>
      <w:r w:rsidR="003B6C8F">
        <w:rPr>
          <w:rFonts w:asciiTheme="minorHAnsi" w:hAnsiTheme="minorHAnsi" w:cstheme="minorHAnsi"/>
        </w:rPr>
        <w:t xml:space="preserve"> </w:t>
      </w:r>
      <w:r w:rsidRPr="005E7DD1">
        <w:rPr>
          <w:rFonts w:asciiTheme="minorHAnsi" w:hAnsiTheme="minorHAnsi" w:cstheme="minorHAnsi"/>
        </w:rPr>
        <w:t xml:space="preserve">for public health </w:t>
      </w:r>
      <w:r w:rsidR="004B18C5">
        <w:rPr>
          <w:rFonts w:asciiTheme="minorHAnsi" w:hAnsiTheme="minorHAnsi" w:cstheme="minorHAnsi"/>
        </w:rPr>
        <w:t xml:space="preserve">and </w:t>
      </w:r>
      <w:r w:rsidRPr="005E7DD1">
        <w:rPr>
          <w:rFonts w:asciiTheme="minorHAnsi" w:hAnsiTheme="minorHAnsi" w:cstheme="minorHAnsi"/>
        </w:rPr>
        <w:t xml:space="preserve">safety in cannabis legalization. Local cities and counties are authorized, under state law, to enact stricter rules on retail practices and to impose local cannabis taxes. This State of Cannabis </w:t>
      </w:r>
      <w:r w:rsidR="00AA18A0">
        <w:rPr>
          <w:rFonts w:asciiTheme="minorHAnsi" w:hAnsiTheme="minorHAnsi" w:cstheme="minorHAnsi"/>
        </w:rPr>
        <w:t>Scorecard</w:t>
      </w:r>
      <w:r w:rsidRPr="005E7DD1">
        <w:rPr>
          <w:rFonts w:asciiTheme="minorHAnsi" w:hAnsiTheme="minorHAnsi" w:cstheme="minorHAnsi"/>
        </w:rPr>
        <w:t xml:space="preserve"> provides a look at how the state of California and the </w:t>
      </w:r>
      <w:r w:rsidR="007A6306">
        <w:rPr>
          <w:rFonts w:asciiTheme="minorHAnsi" w:hAnsiTheme="minorHAnsi" w:cstheme="minorHAnsi"/>
        </w:rPr>
        <w:t>263</w:t>
      </w:r>
      <w:r w:rsidRPr="005E7DD1">
        <w:rPr>
          <w:rFonts w:asciiTheme="minorHAnsi" w:hAnsiTheme="minorHAnsi" w:cstheme="minorHAnsi"/>
        </w:rPr>
        <w:t xml:space="preserve"> cities and counties that have </w:t>
      </w:r>
      <w:r w:rsidR="00782480">
        <w:rPr>
          <w:rFonts w:asciiTheme="minorHAnsi" w:hAnsiTheme="minorHAnsi" w:cstheme="minorHAnsi"/>
        </w:rPr>
        <w:t xml:space="preserve">opted to </w:t>
      </w:r>
      <w:r w:rsidRPr="005E7DD1">
        <w:rPr>
          <w:rFonts w:asciiTheme="minorHAnsi" w:hAnsiTheme="minorHAnsi" w:cstheme="minorHAnsi"/>
        </w:rPr>
        <w:t xml:space="preserve">legalize cannabis </w:t>
      </w:r>
      <w:r w:rsidR="00B51622">
        <w:rPr>
          <w:rFonts w:asciiTheme="minorHAnsi" w:hAnsiTheme="minorHAnsi" w:cstheme="minorHAnsi"/>
        </w:rPr>
        <w:t xml:space="preserve">some form of </w:t>
      </w:r>
      <w:r w:rsidRPr="005E7DD1">
        <w:rPr>
          <w:rFonts w:asciiTheme="minorHAnsi" w:hAnsiTheme="minorHAnsi" w:cstheme="minorHAnsi"/>
        </w:rPr>
        <w:t>retail</w:t>
      </w:r>
      <w:r w:rsidR="00782480">
        <w:rPr>
          <w:rFonts w:asciiTheme="minorHAnsi" w:hAnsiTheme="minorHAnsi" w:cstheme="minorHAnsi"/>
        </w:rPr>
        <w:t xml:space="preserve"> sales</w:t>
      </w:r>
      <w:r w:rsidR="00F94D7B">
        <w:rPr>
          <w:rFonts w:asciiTheme="minorHAnsi" w:hAnsiTheme="minorHAnsi" w:cstheme="minorHAnsi"/>
        </w:rPr>
        <w:t xml:space="preserve"> </w:t>
      </w:r>
      <w:proofErr w:type="gramStart"/>
      <w:r w:rsidRPr="005E7DD1">
        <w:rPr>
          <w:rFonts w:asciiTheme="minorHAnsi" w:hAnsiTheme="minorHAnsi" w:cstheme="minorHAnsi"/>
        </w:rPr>
        <w:t>have</w:t>
      </w:r>
      <w:proofErr w:type="gramEnd"/>
      <w:r w:rsidRPr="005E7DD1">
        <w:rPr>
          <w:rFonts w:asciiTheme="minorHAnsi" w:hAnsiTheme="minorHAnsi" w:cstheme="minorHAnsi"/>
        </w:rPr>
        <w:t xml:space="preserve"> approached this new landscape. </w:t>
      </w:r>
      <w:r w:rsidR="00AA18A0">
        <w:rPr>
          <w:rFonts w:asciiTheme="minorHAnsi" w:hAnsiTheme="minorHAnsi" w:cstheme="minorHAnsi"/>
        </w:rPr>
        <w:t xml:space="preserve">A </w:t>
      </w:r>
      <w:r w:rsidRPr="005E7DD1">
        <w:rPr>
          <w:rFonts w:asciiTheme="minorHAnsi" w:hAnsiTheme="minorHAnsi" w:cstheme="minorHAnsi"/>
        </w:rPr>
        <w:t>higher score reflects that the jurisdiction has gone beyond state law by enact</w:t>
      </w:r>
      <w:r w:rsidR="00B51622">
        <w:rPr>
          <w:rFonts w:asciiTheme="minorHAnsi" w:hAnsiTheme="minorHAnsi" w:cstheme="minorHAnsi"/>
        </w:rPr>
        <w:t>ing</w:t>
      </w:r>
      <w:r w:rsidRPr="005E7DD1">
        <w:rPr>
          <w:rFonts w:asciiTheme="minorHAnsi" w:hAnsiTheme="minorHAnsi" w:cstheme="minorHAnsi"/>
        </w:rPr>
        <w:t xml:space="preserve"> stronger public health and youth protective requirements on cannabis </w:t>
      </w:r>
      <w:r w:rsidR="00AA18A0">
        <w:rPr>
          <w:rFonts w:asciiTheme="minorHAnsi" w:hAnsiTheme="minorHAnsi" w:cstheme="minorHAnsi"/>
        </w:rPr>
        <w:t xml:space="preserve">businesses. </w:t>
      </w:r>
      <w:r w:rsidR="00A614F5">
        <w:rPr>
          <w:rFonts w:asciiTheme="minorHAnsi" w:hAnsiTheme="minorHAnsi" w:cstheme="minorHAnsi"/>
        </w:rPr>
        <w:t>Most of the provisions suggested have been adopted by one or more California jurisdiction.</w:t>
      </w:r>
    </w:p>
    <w:p w14:paraId="0B00EE42" w14:textId="433B7489" w:rsidR="00DE1E77" w:rsidRPr="005E7DD1" w:rsidRDefault="00DE1E77" w:rsidP="00EA7BF8">
      <w:pPr>
        <w:jc w:val="both"/>
        <w:rPr>
          <w:rFonts w:asciiTheme="minorHAnsi" w:hAnsiTheme="minorHAnsi" w:cstheme="minorHAnsi"/>
        </w:rPr>
      </w:pPr>
    </w:p>
    <w:p w14:paraId="7FFF5D06" w14:textId="77777777" w:rsidR="00A614F5" w:rsidRDefault="00A614F5" w:rsidP="00EA7BF8">
      <w:pPr>
        <w:jc w:val="both"/>
        <w:outlineLvl w:val="0"/>
        <w:rPr>
          <w:rFonts w:asciiTheme="minorHAnsi" w:hAnsiTheme="minorHAnsi" w:cstheme="minorHAnsi"/>
          <w:b/>
          <w:color w:val="4472C4" w:themeColor="accent1"/>
        </w:rPr>
      </w:pPr>
    </w:p>
    <w:p w14:paraId="2BFD0F16" w14:textId="77777777" w:rsidR="00A614F5" w:rsidRDefault="00A614F5" w:rsidP="00EA7BF8">
      <w:pPr>
        <w:jc w:val="both"/>
        <w:outlineLvl w:val="0"/>
        <w:rPr>
          <w:rFonts w:asciiTheme="minorHAnsi" w:hAnsiTheme="minorHAnsi" w:cstheme="minorHAnsi"/>
          <w:b/>
          <w:color w:val="4472C4" w:themeColor="accent1"/>
        </w:rPr>
      </w:pPr>
    </w:p>
    <w:p w14:paraId="16B23622" w14:textId="77777777" w:rsidR="00A614F5" w:rsidRDefault="00A614F5" w:rsidP="00EA7BF8">
      <w:pPr>
        <w:jc w:val="both"/>
        <w:outlineLvl w:val="0"/>
        <w:rPr>
          <w:rFonts w:asciiTheme="minorHAnsi" w:hAnsiTheme="minorHAnsi" w:cstheme="minorHAnsi"/>
          <w:b/>
          <w:color w:val="4472C4" w:themeColor="accent1"/>
        </w:rPr>
      </w:pPr>
    </w:p>
    <w:p w14:paraId="27A5C4B2" w14:textId="4A46BC4A" w:rsidR="00DE1E77" w:rsidRPr="005E7DD1" w:rsidRDefault="00AA18A0" w:rsidP="00EA7BF8">
      <w:pPr>
        <w:jc w:val="both"/>
        <w:outlineLvl w:val="0"/>
        <w:rPr>
          <w:rFonts w:asciiTheme="minorHAnsi" w:hAnsiTheme="minorHAnsi" w:cstheme="minorHAnsi"/>
          <w:b/>
          <w:color w:val="4472C4" w:themeColor="accent1"/>
        </w:rPr>
      </w:pPr>
      <w:r>
        <w:rPr>
          <w:rFonts w:asciiTheme="minorHAnsi" w:hAnsiTheme="minorHAnsi" w:cstheme="minorHAnsi"/>
          <w:b/>
          <w:color w:val="4472C4" w:themeColor="accent1"/>
        </w:rPr>
        <w:t>RESEARCH AND SCORECARD DEVELOPMENT</w:t>
      </w:r>
    </w:p>
    <w:p w14:paraId="1D77A873" w14:textId="77777777" w:rsidR="00DE1E77" w:rsidRPr="005E7DD1" w:rsidRDefault="00DE1E77" w:rsidP="00EA7BF8">
      <w:pPr>
        <w:jc w:val="both"/>
        <w:outlineLvl w:val="0"/>
        <w:rPr>
          <w:rFonts w:asciiTheme="minorHAnsi" w:hAnsiTheme="minorHAnsi" w:cstheme="minorHAnsi"/>
          <w:b/>
        </w:rPr>
      </w:pPr>
    </w:p>
    <w:p w14:paraId="0B329F5C" w14:textId="5AD2F861" w:rsidR="0034547D" w:rsidRPr="005E7DD1" w:rsidRDefault="00DE1E77" w:rsidP="00EA7BF8">
      <w:pPr>
        <w:jc w:val="both"/>
        <w:outlineLvl w:val="0"/>
        <w:rPr>
          <w:rFonts w:asciiTheme="minorHAnsi" w:hAnsiTheme="minorHAnsi" w:cstheme="minorHAnsi"/>
          <w:color w:val="000000"/>
        </w:rPr>
      </w:pPr>
      <w:r w:rsidRPr="005E7DD1">
        <w:rPr>
          <w:rFonts w:asciiTheme="minorHAnsi" w:hAnsiTheme="minorHAnsi" w:cstheme="minorHAnsi"/>
          <w:b/>
          <w:bCs/>
          <w:color w:val="000000"/>
        </w:rPr>
        <w:t>Getting it Right from the Start: Regulation of Recreational Marijuana</w:t>
      </w:r>
      <w:r w:rsidRPr="005E7DD1">
        <w:rPr>
          <w:rStyle w:val="apple-converted-space"/>
          <w:rFonts w:asciiTheme="minorHAnsi" w:hAnsiTheme="minorHAnsi" w:cstheme="minorHAnsi"/>
          <w:color w:val="000000"/>
        </w:rPr>
        <w:t> </w:t>
      </w:r>
      <w:r w:rsidRPr="005E7DD1">
        <w:rPr>
          <w:rFonts w:asciiTheme="minorHAnsi" w:hAnsiTheme="minorHAnsi" w:cstheme="minorHAnsi"/>
          <w:color w:val="000000"/>
        </w:rPr>
        <w:t>is a project of the Public Health Institute, an independent non-profit organization which has worked throughout the State of California for over 50 years to promote health, strengthen public health and health systems and advance greater equity. The Project has worked with experts from across the nation and within the state to identify potential best</w:t>
      </w:r>
      <w:r w:rsidR="00E377DE">
        <w:rPr>
          <w:rFonts w:asciiTheme="minorHAnsi" w:hAnsiTheme="minorHAnsi" w:cstheme="minorHAnsi"/>
          <w:color w:val="000000"/>
        </w:rPr>
        <w:t xml:space="preserve"> </w:t>
      </w:r>
      <w:r w:rsidR="00782480">
        <w:rPr>
          <w:rFonts w:asciiTheme="minorHAnsi" w:hAnsiTheme="minorHAnsi" w:cstheme="minorHAnsi"/>
          <w:color w:val="000000"/>
        </w:rPr>
        <w:t xml:space="preserve">regulatory </w:t>
      </w:r>
      <w:r w:rsidRPr="005E7DD1">
        <w:rPr>
          <w:rFonts w:asciiTheme="minorHAnsi" w:hAnsiTheme="minorHAnsi" w:cstheme="minorHAnsi"/>
          <w:color w:val="000000"/>
        </w:rPr>
        <w:t>practices and develop stronger local regulatory and taxation frameworks to protect youth, public health and social equity.</w:t>
      </w:r>
      <w:r w:rsidR="007A6306">
        <w:rPr>
          <w:rFonts w:asciiTheme="minorHAnsi" w:hAnsiTheme="minorHAnsi" w:cstheme="minorHAnsi"/>
          <w:color w:val="000000"/>
        </w:rPr>
        <w:t xml:space="preserve"> </w:t>
      </w:r>
      <w:r w:rsidR="00782480">
        <w:rPr>
          <w:rFonts w:asciiTheme="minorHAnsi" w:hAnsiTheme="minorHAnsi" w:cstheme="minorHAnsi"/>
          <w:color w:val="000000"/>
        </w:rPr>
        <w:t>As part of this effort,</w:t>
      </w:r>
      <w:r w:rsidR="00782480" w:rsidRPr="005E7DD1">
        <w:rPr>
          <w:rFonts w:asciiTheme="minorHAnsi" w:hAnsiTheme="minorHAnsi" w:cstheme="minorHAnsi"/>
          <w:color w:val="000000"/>
        </w:rPr>
        <w:t xml:space="preserve"> </w:t>
      </w:r>
      <w:r w:rsidRPr="005E7DD1">
        <w:rPr>
          <w:rFonts w:asciiTheme="minorHAnsi" w:hAnsiTheme="minorHAnsi" w:cstheme="minorHAnsi"/>
          <w:color w:val="000000"/>
        </w:rPr>
        <w:t xml:space="preserve">the project created model </w:t>
      </w:r>
      <w:r w:rsidR="00782480">
        <w:rPr>
          <w:rFonts w:asciiTheme="minorHAnsi" w:hAnsiTheme="minorHAnsi" w:cstheme="minorHAnsi"/>
          <w:color w:val="000000"/>
        </w:rPr>
        <w:t xml:space="preserve">local </w:t>
      </w:r>
      <w:r w:rsidRPr="005E7DD1">
        <w:rPr>
          <w:rFonts w:asciiTheme="minorHAnsi" w:hAnsiTheme="minorHAnsi" w:cstheme="minorHAnsi"/>
          <w:color w:val="000000"/>
        </w:rPr>
        <w:t>ordinances for retail and marketing as well as taxation</w:t>
      </w:r>
      <w:r w:rsidR="00782480">
        <w:rPr>
          <w:rFonts w:asciiTheme="minorHAnsi" w:hAnsiTheme="minorHAnsi" w:cstheme="minorHAnsi"/>
          <w:color w:val="000000"/>
        </w:rPr>
        <w:t xml:space="preserve"> for California jurisdictions</w:t>
      </w:r>
      <w:r w:rsidRPr="005E7DD1">
        <w:rPr>
          <w:rFonts w:asciiTheme="minorHAnsi" w:hAnsiTheme="minorHAnsi" w:cstheme="minorHAnsi"/>
          <w:color w:val="000000"/>
        </w:rPr>
        <w:t>.</w:t>
      </w:r>
      <w:r w:rsidR="00201841" w:rsidRPr="005E7DD1">
        <w:rPr>
          <w:rStyle w:val="FootnoteReference"/>
          <w:rFonts w:asciiTheme="minorHAnsi" w:hAnsiTheme="minorHAnsi" w:cstheme="minorHAnsi"/>
          <w:color w:val="000000"/>
        </w:rPr>
        <w:footnoteReference w:id="7"/>
      </w:r>
      <w:r w:rsidRPr="005E7DD1">
        <w:rPr>
          <w:rFonts w:asciiTheme="minorHAnsi" w:hAnsiTheme="minorHAnsi" w:cstheme="minorHAnsi"/>
          <w:color w:val="000000"/>
        </w:rPr>
        <w:t xml:space="preserve"> </w:t>
      </w:r>
    </w:p>
    <w:p w14:paraId="2ED0BB49" w14:textId="77777777" w:rsidR="0034547D" w:rsidRPr="005E7DD1" w:rsidRDefault="0034547D" w:rsidP="00EA7BF8">
      <w:pPr>
        <w:jc w:val="both"/>
        <w:outlineLvl w:val="0"/>
        <w:rPr>
          <w:rFonts w:asciiTheme="minorHAnsi" w:hAnsiTheme="minorHAnsi" w:cstheme="minorHAnsi"/>
        </w:rPr>
      </w:pPr>
    </w:p>
    <w:p w14:paraId="20006DCF" w14:textId="591B9276" w:rsidR="0014409A" w:rsidRPr="005E7DD1" w:rsidRDefault="00DE1E77" w:rsidP="00EA7BF8">
      <w:pPr>
        <w:jc w:val="both"/>
        <w:outlineLvl w:val="0"/>
        <w:rPr>
          <w:rFonts w:asciiTheme="minorHAnsi" w:hAnsiTheme="minorHAnsi" w:cstheme="minorHAnsi"/>
        </w:rPr>
      </w:pPr>
      <w:r w:rsidRPr="005E7DD1">
        <w:rPr>
          <w:rFonts w:asciiTheme="minorHAnsi" w:hAnsiTheme="minorHAnsi" w:cstheme="minorHAnsi"/>
        </w:rPr>
        <w:t>These model</w:t>
      </w:r>
      <w:r w:rsidR="0034547D" w:rsidRPr="005E7DD1">
        <w:rPr>
          <w:rFonts w:asciiTheme="minorHAnsi" w:hAnsiTheme="minorHAnsi" w:cstheme="minorHAnsi"/>
        </w:rPr>
        <w:t xml:space="preserve"> ordinances</w:t>
      </w:r>
      <w:r w:rsidRPr="005E7DD1">
        <w:rPr>
          <w:rFonts w:asciiTheme="minorHAnsi" w:hAnsiTheme="minorHAnsi" w:cstheme="minorHAnsi"/>
        </w:rPr>
        <w:t xml:space="preserve"> were produced after </w:t>
      </w:r>
      <w:r w:rsidR="00782480">
        <w:rPr>
          <w:rFonts w:asciiTheme="minorHAnsi" w:hAnsiTheme="minorHAnsi" w:cstheme="minorHAnsi"/>
        </w:rPr>
        <w:t xml:space="preserve">review of the </w:t>
      </w:r>
      <w:r w:rsidR="00782480" w:rsidRPr="005E7DD1">
        <w:rPr>
          <w:rFonts w:asciiTheme="minorHAnsi" w:hAnsiTheme="minorHAnsi" w:cstheme="minorHAnsi"/>
        </w:rPr>
        <w:t xml:space="preserve">literature and </w:t>
      </w:r>
      <w:r w:rsidR="00F94D7B">
        <w:rPr>
          <w:rFonts w:asciiTheme="minorHAnsi" w:hAnsiTheme="minorHAnsi" w:cstheme="minorHAnsi"/>
        </w:rPr>
        <w:t xml:space="preserve">over </w:t>
      </w:r>
      <w:r w:rsidR="00782480">
        <w:rPr>
          <w:rFonts w:asciiTheme="minorHAnsi" w:hAnsiTheme="minorHAnsi" w:cstheme="minorHAnsi"/>
        </w:rPr>
        <w:t xml:space="preserve">50 </w:t>
      </w:r>
      <w:r w:rsidRPr="005E7DD1">
        <w:rPr>
          <w:rFonts w:asciiTheme="minorHAnsi" w:hAnsiTheme="minorHAnsi" w:cstheme="minorHAnsi"/>
        </w:rPr>
        <w:t>in-depth interviews with dozens of stakeholders from local jurisdictions, community members, academic and research experts, regulators from other states, legal experts, community coalitions, dispensary owners, laboratory experts, manufacturers, clinicians working with addiction, and others. The model</w:t>
      </w:r>
      <w:r w:rsidR="00C01086" w:rsidRPr="005E7DD1">
        <w:rPr>
          <w:rFonts w:asciiTheme="minorHAnsi" w:hAnsiTheme="minorHAnsi" w:cstheme="minorHAnsi"/>
        </w:rPr>
        <w:t>s</w:t>
      </w:r>
      <w:r w:rsidRPr="005E7DD1">
        <w:rPr>
          <w:rFonts w:asciiTheme="minorHAnsi" w:hAnsiTheme="minorHAnsi" w:cstheme="minorHAnsi"/>
        </w:rPr>
        <w:t xml:space="preserve"> use</w:t>
      </w:r>
      <w:r w:rsidR="00C01086" w:rsidRPr="005E7DD1">
        <w:rPr>
          <w:rFonts w:asciiTheme="minorHAnsi" w:hAnsiTheme="minorHAnsi" w:cstheme="minorHAnsi"/>
        </w:rPr>
        <w:t xml:space="preserve"> </w:t>
      </w:r>
      <w:r w:rsidRPr="005E7DD1">
        <w:rPr>
          <w:rFonts w:asciiTheme="minorHAnsi" w:hAnsiTheme="minorHAnsi" w:cstheme="minorHAnsi"/>
        </w:rPr>
        <w:t>best available evidence from the fields of alcohol and tobacco control, the experience of states which legalized earlier than California, the massive scientific review recently completed by the National Academy of Sciences to identify key evidence-based risks of cannabis consumption, and the advice received on best practices or needed best practices from experts interviewed.</w:t>
      </w:r>
      <w:r w:rsidR="0034547D" w:rsidRPr="005E7DD1">
        <w:rPr>
          <w:rFonts w:asciiTheme="minorHAnsi" w:hAnsiTheme="minorHAnsi" w:cstheme="minorHAnsi"/>
        </w:rPr>
        <w:t xml:space="preserve"> Drafts of our model laws were reviewed by attorneys with public health </w:t>
      </w:r>
      <w:r w:rsidR="007D5021">
        <w:rPr>
          <w:rFonts w:asciiTheme="minorHAnsi" w:hAnsiTheme="minorHAnsi" w:cstheme="minorHAnsi"/>
        </w:rPr>
        <w:t xml:space="preserve">and tobacco control </w:t>
      </w:r>
      <w:r w:rsidR="0034547D" w:rsidRPr="005E7DD1">
        <w:rPr>
          <w:rFonts w:asciiTheme="minorHAnsi" w:hAnsiTheme="minorHAnsi" w:cstheme="minorHAnsi"/>
        </w:rPr>
        <w:t>experience, a constitutional law expert, and an alcohol control expert.</w:t>
      </w:r>
      <w:r w:rsidR="007A6306">
        <w:rPr>
          <w:rFonts w:asciiTheme="minorHAnsi" w:hAnsiTheme="minorHAnsi" w:cstheme="minorHAnsi"/>
        </w:rPr>
        <w:t xml:space="preserve"> </w:t>
      </w:r>
      <w:r w:rsidR="0034547D" w:rsidRPr="005E7DD1">
        <w:rPr>
          <w:rFonts w:asciiTheme="minorHAnsi" w:hAnsiTheme="minorHAnsi" w:cstheme="minorHAnsi"/>
        </w:rPr>
        <w:t>We shared the drafts at a convening of individuals from different backgrounds and expertise</w:t>
      </w:r>
      <w:r w:rsidR="00782480">
        <w:rPr>
          <w:rFonts w:asciiTheme="minorHAnsi" w:hAnsiTheme="minorHAnsi" w:cstheme="minorHAnsi"/>
        </w:rPr>
        <w:t xml:space="preserve"> and representatives from a number of jurisdictions,</w:t>
      </w:r>
      <w:r w:rsidR="0034547D" w:rsidRPr="005E7DD1">
        <w:rPr>
          <w:rFonts w:asciiTheme="minorHAnsi" w:hAnsiTheme="minorHAnsi" w:cstheme="minorHAnsi"/>
        </w:rPr>
        <w:t xml:space="preserve"> and revised our drafts to incorporate</w:t>
      </w:r>
      <w:r w:rsidR="00782480">
        <w:rPr>
          <w:rFonts w:asciiTheme="minorHAnsi" w:hAnsiTheme="minorHAnsi" w:cstheme="minorHAnsi"/>
        </w:rPr>
        <w:t xml:space="preserve"> their</w:t>
      </w:r>
      <w:r w:rsidR="007A6306">
        <w:rPr>
          <w:rFonts w:asciiTheme="minorHAnsi" w:hAnsiTheme="minorHAnsi" w:cstheme="minorHAnsi"/>
        </w:rPr>
        <w:t xml:space="preserve"> </w:t>
      </w:r>
      <w:r w:rsidR="0034547D" w:rsidRPr="005E7DD1">
        <w:rPr>
          <w:rFonts w:asciiTheme="minorHAnsi" w:hAnsiTheme="minorHAnsi" w:cstheme="minorHAnsi"/>
        </w:rPr>
        <w:t>input.</w:t>
      </w:r>
      <w:r w:rsidR="007A6306">
        <w:rPr>
          <w:rFonts w:asciiTheme="minorHAnsi" w:hAnsiTheme="minorHAnsi" w:cstheme="minorHAnsi"/>
        </w:rPr>
        <w:t xml:space="preserve"> </w:t>
      </w:r>
      <w:r w:rsidR="0034547D" w:rsidRPr="005E7DD1">
        <w:rPr>
          <w:rFonts w:asciiTheme="minorHAnsi" w:hAnsiTheme="minorHAnsi" w:cstheme="minorHAnsi"/>
        </w:rPr>
        <w:t xml:space="preserve">Our model tax laws were developed by the project with the advice of attorney Michael </w:t>
      </w:r>
      <w:proofErr w:type="spellStart"/>
      <w:r w:rsidR="0034547D" w:rsidRPr="005E7DD1">
        <w:rPr>
          <w:rFonts w:asciiTheme="minorHAnsi" w:hAnsiTheme="minorHAnsi" w:cstheme="minorHAnsi"/>
        </w:rPr>
        <w:t>Colantuono</w:t>
      </w:r>
      <w:proofErr w:type="spellEnd"/>
      <w:r w:rsidR="0034547D" w:rsidRPr="005E7DD1">
        <w:rPr>
          <w:rFonts w:asciiTheme="minorHAnsi" w:hAnsiTheme="minorHAnsi" w:cstheme="minorHAnsi"/>
        </w:rPr>
        <w:t>, an experienced appellate attorney and leading expert</w:t>
      </w:r>
      <w:r w:rsidR="007A6306">
        <w:rPr>
          <w:rFonts w:asciiTheme="minorHAnsi" w:hAnsiTheme="minorHAnsi" w:cstheme="minorHAnsi"/>
        </w:rPr>
        <w:t xml:space="preserve"> </w:t>
      </w:r>
      <w:r w:rsidR="0034547D" w:rsidRPr="005E7DD1">
        <w:rPr>
          <w:rFonts w:asciiTheme="minorHAnsi" w:hAnsiTheme="minorHAnsi" w:cstheme="minorHAnsi"/>
        </w:rPr>
        <w:t>on the law of local government revenues.</w:t>
      </w:r>
      <w:r w:rsidR="007A6306">
        <w:rPr>
          <w:rFonts w:asciiTheme="minorHAnsi" w:hAnsiTheme="minorHAnsi" w:cstheme="minorHAnsi"/>
        </w:rPr>
        <w:t xml:space="preserve"> </w:t>
      </w:r>
      <w:r w:rsidR="0034547D" w:rsidRPr="005E7DD1">
        <w:rPr>
          <w:rFonts w:asciiTheme="minorHAnsi" w:hAnsiTheme="minorHAnsi" w:cstheme="minorHAnsi"/>
        </w:rPr>
        <w:t xml:space="preserve">In December 2017, the model </w:t>
      </w:r>
      <w:r w:rsidR="00782480">
        <w:rPr>
          <w:rFonts w:asciiTheme="minorHAnsi" w:hAnsiTheme="minorHAnsi" w:cstheme="minorHAnsi"/>
        </w:rPr>
        <w:t xml:space="preserve">retail </w:t>
      </w:r>
      <w:r w:rsidR="0034547D" w:rsidRPr="005E7DD1">
        <w:rPr>
          <w:rFonts w:asciiTheme="minorHAnsi" w:hAnsiTheme="minorHAnsi" w:cstheme="minorHAnsi"/>
        </w:rPr>
        <w:t>ordinance w</w:t>
      </w:r>
      <w:r w:rsidR="00782480">
        <w:rPr>
          <w:rFonts w:asciiTheme="minorHAnsi" w:hAnsiTheme="minorHAnsi" w:cstheme="minorHAnsi"/>
        </w:rPr>
        <w:t>as</w:t>
      </w:r>
      <w:r w:rsidR="0034547D" w:rsidRPr="005E7DD1">
        <w:rPr>
          <w:rFonts w:asciiTheme="minorHAnsi" w:hAnsiTheme="minorHAnsi" w:cstheme="minorHAnsi"/>
        </w:rPr>
        <w:t xml:space="preserve"> disseminated statewide to city managers, administrative officers, and public health officials in all of California’s jurisdictions</w:t>
      </w:r>
      <w:r w:rsidR="00782480">
        <w:rPr>
          <w:rFonts w:asciiTheme="minorHAnsi" w:hAnsiTheme="minorHAnsi" w:cstheme="minorHAnsi"/>
        </w:rPr>
        <w:t>, and the tax ordinances were disseminated in January 2018</w:t>
      </w:r>
      <w:r w:rsidR="00DE2641">
        <w:rPr>
          <w:rFonts w:asciiTheme="minorHAnsi" w:hAnsiTheme="minorHAnsi" w:cstheme="minorHAnsi"/>
        </w:rPr>
        <w:t>.</w:t>
      </w:r>
    </w:p>
    <w:p w14:paraId="43F6F109" w14:textId="23B354F9" w:rsidR="009A49D9" w:rsidRPr="005E7DD1" w:rsidRDefault="009A49D9" w:rsidP="00EA7BF8">
      <w:pPr>
        <w:jc w:val="both"/>
        <w:outlineLvl w:val="0"/>
        <w:rPr>
          <w:rFonts w:asciiTheme="minorHAnsi" w:hAnsiTheme="minorHAnsi" w:cstheme="minorHAnsi"/>
        </w:rPr>
      </w:pPr>
    </w:p>
    <w:p w14:paraId="387C8983" w14:textId="11CE91BC" w:rsidR="00DE1E77" w:rsidRPr="005E7DD1" w:rsidRDefault="00DE1E77" w:rsidP="00EA7BF8">
      <w:pPr>
        <w:jc w:val="both"/>
        <w:outlineLvl w:val="0"/>
        <w:rPr>
          <w:rFonts w:asciiTheme="minorHAnsi" w:hAnsiTheme="minorHAnsi" w:cstheme="minorHAnsi"/>
        </w:rPr>
      </w:pPr>
      <w:r w:rsidRPr="005E7DD1">
        <w:rPr>
          <w:rFonts w:asciiTheme="minorHAnsi" w:hAnsiTheme="minorHAnsi" w:cstheme="minorHAnsi"/>
        </w:rPr>
        <w:t xml:space="preserve">This </w:t>
      </w:r>
      <w:r w:rsidR="008A43CF" w:rsidRPr="005E7DD1">
        <w:rPr>
          <w:rFonts w:asciiTheme="minorHAnsi" w:hAnsiTheme="minorHAnsi" w:cstheme="minorHAnsi"/>
        </w:rPr>
        <w:t>Scorecard</w:t>
      </w:r>
      <w:r w:rsidRPr="005E7DD1">
        <w:rPr>
          <w:rFonts w:asciiTheme="minorHAnsi" w:hAnsiTheme="minorHAnsi" w:cstheme="minorHAnsi"/>
        </w:rPr>
        <w:t xml:space="preserve"> </w:t>
      </w:r>
      <w:r w:rsidR="00782480">
        <w:rPr>
          <w:rFonts w:asciiTheme="minorHAnsi" w:hAnsiTheme="minorHAnsi" w:cstheme="minorHAnsi"/>
        </w:rPr>
        <w:t xml:space="preserve">builds on </w:t>
      </w:r>
      <w:r w:rsidR="00C01086" w:rsidRPr="005E7DD1">
        <w:rPr>
          <w:rFonts w:asciiTheme="minorHAnsi" w:hAnsiTheme="minorHAnsi" w:cstheme="minorHAnsi"/>
        </w:rPr>
        <w:t xml:space="preserve">the </w:t>
      </w:r>
      <w:r w:rsidRPr="005E7DD1">
        <w:rPr>
          <w:rFonts w:asciiTheme="minorHAnsi" w:hAnsiTheme="minorHAnsi" w:cstheme="minorHAnsi"/>
        </w:rPr>
        <w:t xml:space="preserve">extensive interviews and research </w:t>
      </w:r>
      <w:r w:rsidR="00C01086" w:rsidRPr="005E7DD1">
        <w:rPr>
          <w:rFonts w:asciiTheme="minorHAnsi" w:hAnsiTheme="minorHAnsi" w:cstheme="minorHAnsi"/>
        </w:rPr>
        <w:t xml:space="preserve">that went </w:t>
      </w:r>
      <w:r w:rsidRPr="005E7DD1">
        <w:rPr>
          <w:rFonts w:asciiTheme="minorHAnsi" w:hAnsiTheme="minorHAnsi" w:cstheme="minorHAnsi"/>
        </w:rPr>
        <w:t>into developing the model ordinances</w:t>
      </w:r>
      <w:r w:rsidR="00E377DE">
        <w:rPr>
          <w:rFonts w:asciiTheme="minorHAnsi" w:hAnsiTheme="minorHAnsi" w:cstheme="minorHAnsi"/>
        </w:rPr>
        <w:t>.</w:t>
      </w:r>
      <w:r w:rsidRPr="005E7DD1">
        <w:rPr>
          <w:rFonts w:asciiTheme="minorHAnsi" w:hAnsiTheme="minorHAnsi" w:cstheme="minorHAnsi"/>
        </w:rPr>
        <w:t xml:space="preserve"> </w:t>
      </w:r>
      <w:r w:rsidR="007D5021">
        <w:rPr>
          <w:rFonts w:asciiTheme="minorHAnsi" w:hAnsiTheme="minorHAnsi" w:cstheme="minorHAnsi"/>
        </w:rPr>
        <w:t xml:space="preserve">Serious </w:t>
      </w:r>
      <w:r w:rsidRPr="005E7DD1">
        <w:rPr>
          <w:rFonts w:asciiTheme="minorHAnsi" w:hAnsiTheme="minorHAnsi" w:cstheme="minorHAnsi"/>
        </w:rPr>
        <w:t>risks (</w:t>
      </w:r>
      <w:r w:rsidR="00782480">
        <w:rPr>
          <w:rFonts w:asciiTheme="minorHAnsi" w:hAnsiTheme="minorHAnsi" w:cstheme="minorHAnsi"/>
        </w:rPr>
        <w:t xml:space="preserve">early </w:t>
      </w:r>
      <w:r w:rsidRPr="005E7DD1">
        <w:rPr>
          <w:rFonts w:asciiTheme="minorHAnsi" w:hAnsiTheme="minorHAnsi" w:cstheme="minorHAnsi"/>
        </w:rPr>
        <w:t xml:space="preserve">youth use, addiction, mental health effects) can be </w:t>
      </w:r>
      <w:r w:rsidR="00782480">
        <w:rPr>
          <w:rFonts w:asciiTheme="minorHAnsi" w:hAnsiTheme="minorHAnsi" w:cstheme="minorHAnsi"/>
        </w:rPr>
        <w:t>reduced</w:t>
      </w:r>
      <w:r w:rsidR="00F94D7B">
        <w:rPr>
          <w:rFonts w:asciiTheme="minorHAnsi" w:hAnsiTheme="minorHAnsi" w:cstheme="minorHAnsi"/>
        </w:rPr>
        <w:t xml:space="preserve"> </w:t>
      </w:r>
      <w:r w:rsidRPr="005E7DD1">
        <w:rPr>
          <w:rFonts w:asciiTheme="minorHAnsi" w:hAnsiTheme="minorHAnsi" w:cstheme="minorHAnsi"/>
        </w:rPr>
        <w:t xml:space="preserve">by restricting certain products that are highly </w:t>
      </w:r>
      <w:r w:rsidR="00782480">
        <w:rPr>
          <w:rFonts w:asciiTheme="minorHAnsi" w:hAnsiTheme="minorHAnsi" w:cstheme="minorHAnsi"/>
        </w:rPr>
        <w:t>attractive to youth</w:t>
      </w:r>
      <w:r w:rsidRPr="005E7DD1">
        <w:rPr>
          <w:rFonts w:asciiTheme="minorHAnsi" w:hAnsiTheme="minorHAnsi" w:cstheme="minorHAnsi"/>
        </w:rPr>
        <w:t xml:space="preserve">, </w:t>
      </w:r>
      <w:r w:rsidR="00E377DE">
        <w:rPr>
          <w:rFonts w:asciiTheme="minorHAnsi" w:hAnsiTheme="minorHAnsi" w:cstheme="minorHAnsi"/>
        </w:rPr>
        <w:t xml:space="preserve">restricting </w:t>
      </w:r>
      <w:r w:rsidR="00782480">
        <w:rPr>
          <w:rFonts w:asciiTheme="minorHAnsi" w:hAnsiTheme="minorHAnsi" w:cstheme="minorHAnsi"/>
        </w:rPr>
        <w:t xml:space="preserve">excessively potent </w:t>
      </w:r>
      <w:r w:rsidR="00E377DE">
        <w:rPr>
          <w:rFonts w:asciiTheme="minorHAnsi" w:hAnsiTheme="minorHAnsi" w:cstheme="minorHAnsi"/>
        </w:rPr>
        <w:t xml:space="preserve">products, </w:t>
      </w:r>
      <w:r w:rsidRPr="005E7DD1">
        <w:rPr>
          <w:rFonts w:asciiTheme="minorHAnsi" w:hAnsiTheme="minorHAnsi" w:cstheme="minorHAnsi"/>
        </w:rPr>
        <w:t xml:space="preserve">reducing overconcentration of retail outlets, limiting marketing and advertising attractive to youth, and limiting the </w:t>
      </w:r>
      <w:r w:rsidR="00B51622">
        <w:rPr>
          <w:rFonts w:asciiTheme="minorHAnsi" w:hAnsiTheme="minorHAnsi" w:cstheme="minorHAnsi"/>
        </w:rPr>
        <w:t xml:space="preserve">social </w:t>
      </w:r>
      <w:r w:rsidRPr="005E7DD1">
        <w:rPr>
          <w:rFonts w:asciiTheme="minorHAnsi" w:hAnsiTheme="minorHAnsi" w:cstheme="minorHAnsi"/>
        </w:rPr>
        <w:t>normalization of cannabis use.</w:t>
      </w:r>
      <w:r w:rsidR="007A6306">
        <w:rPr>
          <w:rFonts w:asciiTheme="minorHAnsi" w:hAnsiTheme="minorHAnsi" w:cstheme="minorHAnsi"/>
        </w:rPr>
        <w:t xml:space="preserve"> </w:t>
      </w:r>
      <w:r w:rsidRPr="005E7DD1">
        <w:rPr>
          <w:rFonts w:asciiTheme="minorHAnsi" w:hAnsiTheme="minorHAnsi" w:cstheme="minorHAnsi"/>
        </w:rPr>
        <w:t xml:space="preserve">Following the theme of limiting youth exposure and access, </w:t>
      </w:r>
      <w:r w:rsidR="007D5021">
        <w:rPr>
          <w:rFonts w:asciiTheme="minorHAnsi" w:hAnsiTheme="minorHAnsi" w:cstheme="minorHAnsi"/>
        </w:rPr>
        <w:t xml:space="preserve">cannabis commerce should be taxed and </w:t>
      </w:r>
      <w:r w:rsidRPr="005E7DD1">
        <w:rPr>
          <w:rFonts w:asciiTheme="minorHAnsi" w:hAnsiTheme="minorHAnsi" w:cstheme="minorHAnsi"/>
        </w:rPr>
        <w:t>tax dollars that are earned through cannabis legalization are best directed towards youth and prevention programs as well as programs that promote social justice and equity.</w:t>
      </w:r>
      <w:r w:rsidR="007A6306">
        <w:rPr>
          <w:rFonts w:asciiTheme="minorHAnsi" w:hAnsiTheme="minorHAnsi" w:cstheme="minorHAnsi"/>
        </w:rPr>
        <w:t xml:space="preserve"> </w:t>
      </w:r>
    </w:p>
    <w:p w14:paraId="5AF2975E" w14:textId="42A6A9F5" w:rsidR="00DE1E77" w:rsidRPr="005E7DD1" w:rsidRDefault="00DE1E77" w:rsidP="00EA7BF8">
      <w:pPr>
        <w:jc w:val="both"/>
        <w:rPr>
          <w:rFonts w:asciiTheme="minorHAnsi" w:hAnsiTheme="minorHAnsi" w:cstheme="minorHAnsi"/>
        </w:rPr>
      </w:pPr>
    </w:p>
    <w:p w14:paraId="2802CC98" w14:textId="77777777" w:rsidR="004571DA" w:rsidRDefault="002C4495" w:rsidP="00EA7BF8">
      <w:pPr>
        <w:jc w:val="both"/>
        <w:outlineLvl w:val="0"/>
        <w:rPr>
          <w:rFonts w:asciiTheme="minorHAnsi" w:hAnsiTheme="minorHAnsi" w:cstheme="minorHAnsi"/>
        </w:rPr>
      </w:pPr>
      <w:r w:rsidRPr="005E7DD1">
        <w:rPr>
          <w:rFonts w:asciiTheme="minorHAnsi" w:hAnsiTheme="minorHAnsi" w:cstheme="minorHAnsi"/>
        </w:rPr>
        <w:lastRenderedPageBreak/>
        <w:t>Based on our own research as well as the rich literature available on tobacco and alcohol, w</w:t>
      </w:r>
      <w:r w:rsidR="00DE1E77" w:rsidRPr="005E7DD1">
        <w:rPr>
          <w:rFonts w:asciiTheme="minorHAnsi" w:hAnsiTheme="minorHAnsi" w:cstheme="minorHAnsi"/>
        </w:rPr>
        <w:t>e</w:t>
      </w:r>
      <w:r w:rsidRPr="005E7DD1">
        <w:rPr>
          <w:rFonts w:asciiTheme="minorHAnsi" w:hAnsiTheme="minorHAnsi" w:cstheme="minorHAnsi"/>
        </w:rPr>
        <w:t xml:space="preserve"> </w:t>
      </w:r>
      <w:r w:rsidR="00DE1E77" w:rsidRPr="005E7DD1">
        <w:rPr>
          <w:rFonts w:asciiTheme="minorHAnsi" w:hAnsiTheme="minorHAnsi" w:cstheme="minorHAnsi"/>
        </w:rPr>
        <w:t xml:space="preserve">identified </w:t>
      </w:r>
      <w:r w:rsidR="00DE1E77" w:rsidRPr="00AA18A0">
        <w:rPr>
          <w:rFonts w:asciiTheme="minorHAnsi" w:hAnsiTheme="minorHAnsi" w:cstheme="minorHAnsi"/>
          <w:b/>
        </w:rPr>
        <w:t>six primary categories</w:t>
      </w:r>
      <w:r w:rsidR="00DE1E77" w:rsidRPr="005E7DD1">
        <w:rPr>
          <w:rFonts w:asciiTheme="minorHAnsi" w:hAnsiTheme="minorHAnsi" w:cstheme="minorHAnsi"/>
        </w:rPr>
        <w:t xml:space="preserve"> of public health concern in any cannabis legalization scheme. These are: 1) Retailer Requirements, 2) Taxes</w:t>
      </w:r>
      <w:r w:rsidR="00C01086" w:rsidRPr="005E7DD1">
        <w:rPr>
          <w:rFonts w:asciiTheme="minorHAnsi" w:hAnsiTheme="minorHAnsi" w:cstheme="minorHAnsi"/>
        </w:rPr>
        <w:t xml:space="preserve"> &amp; </w:t>
      </w:r>
      <w:r w:rsidR="00DE1E77" w:rsidRPr="005E7DD1">
        <w:rPr>
          <w:rFonts w:asciiTheme="minorHAnsi" w:hAnsiTheme="minorHAnsi" w:cstheme="minorHAnsi"/>
        </w:rPr>
        <w:t>Prices 3) Product Limitations, 4)</w:t>
      </w:r>
      <w:r w:rsidR="00C01086" w:rsidRPr="005E7DD1">
        <w:rPr>
          <w:rFonts w:asciiTheme="minorHAnsi" w:hAnsiTheme="minorHAnsi" w:cstheme="minorHAnsi"/>
        </w:rPr>
        <w:t xml:space="preserve"> Marketing</w:t>
      </w:r>
      <w:r w:rsidR="00DE1E77" w:rsidRPr="005E7DD1">
        <w:rPr>
          <w:rFonts w:asciiTheme="minorHAnsi" w:hAnsiTheme="minorHAnsi" w:cstheme="minorHAnsi"/>
        </w:rPr>
        <w:t>, 5) Smoke-Free Air, and 6) Conflicts of Interest</w:t>
      </w:r>
      <w:r w:rsidR="00C01086" w:rsidRPr="005E7DD1">
        <w:rPr>
          <w:rFonts w:asciiTheme="minorHAnsi" w:hAnsiTheme="minorHAnsi" w:cstheme="minorHAnsi"/>
        </w:rPr>
        <w:t xml:space="preserve"> &amp; Equity</w:t>
      </w:r>
      <w:r w:rsidR="00DE1E77" w:rsidRPr="005E7DD1">
        <w:rPr>
          <w:rFonts w:asciiTheme="minorHAnsi" w:hAnsiTheme="minorHAnsi" w:cstheme="minorHAnsi"/>
        </w:rPr>
        <w:t>. Within each primary category are criteria that can be used to analyze how well a jurisdiction has embraced public health principles in their cannabis ordinances</w:t>
      </w:r>
      <w:r w:rsidRPr="005E7DD1">
        <w:rPr>
          <w:rFonts w:asciiTheme="minorHAnsi" w:hAnsiTheme="minorHAnsi" w:cstheme="minorHAnsi"/>
        </w:rPr>
        <w:t xml:space="preserve">. </w:t>
      </w:r>
      <w:r w:rsidR="00DE1E77" w:rsidRPr="005E7DD1">
        <w:rPr>
          <w:rFonts w:asciiTheme="minorHAnsi" w:hAnsiTheme="minorHAnsi" w:cstheme="minorHAnsi"/>
        </w:rPr>
        <w:t>We assigned higher points to those criteria that have the greatest known impact on limiting youth use and exposure based on strong evidence from tobacco</w:t>
      </w:r>
      <w:r w:rsidR="00AA18A0">
        <w:rPr>
          <w:rFonts w:asciiTheme="minorHAnsi" w:hAnsiTheme="minorHAnsi" w:cstheme="minorHAnsi"/>
        </w:rPr>
        <w:t xml:space="preserve"> and alcohol </w:t>
      </w:r>
      <w:r w:rsidR="00DE1E77" w:rsidRPr="005E7DD1">
        <w:rPr>
          <w:rFonts w:asciiTheme="minorHAnsi" w:hAnsiTheme="minorHAnsi" w:cstheme="minorHAnsi"/>
        </w:rPr>
        <w:t>literature.</w:t>
      </w:r>
    </w:p>
    <w:p w14:paraId="03E5B3B9" w14:textId="382CF4C6" w:rsidR="005B0A75" w:rsidRPr="005E7DD1" w:rsidRDefault="004571DA" w:rsidP="00DE1E77">
      <w:pPr>
        <w:outlineLvl w:val="0"/>
        <w:rPr>
          <w:rFonts w:asciiTheme="minorHAnsi" w:hAnsiTheme="minorHAnsi" w:cstheme="minorHAnsi"/>
        </w:rPr>
      </w:pPr>
      <w:r>
        <w:rPr>
          <w:rFonts w:asciiTheme="minorHAnsi" w:hAnsiTheme="minorHAnsi" w:cstheme="minorHAnsi"/>
          <w:noProof/>
        </w:rPr>
        <w:drawing>
          <wp:inline distT="0" distB="0" distL="0" distR="0" wp14:anchorId="740CE306" wp14:editId="7F8EFBC7">
            <wp:extent cx="6217920" cy="3149600"/>
            <wp:effectExtent l="0" t="0" r="1778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77192A" w14:textId="51E26734" w:rsidR="005B0A75" w:rsidRPr="005E7DD1" w:rsidRDefault="005B0A75" w:rsidP="00DE1E77">
      <w:pPr>
        <w:outlineLvl w:val="0"/>
        <w:rPr>
          <w:rFonts w:asciiTheme="minorHAnsi" w:hAnsiTheme="minorHAnsi" w:cstheme="minorHAnsi"/>
        </w:rPr>
      </w:pPr>
    </w:p>
    <w:p w14:paraId="64E6E4E0" w14:textId="560D525B" w:rsidR="008603BA" w:rsidRDefault="00B053D3" w:rsidP="00EA7BF8">
      <w:pPr>
        <w:jc w:val="both"/>
        <w:rPr>
          <w:rFonts w:asciiTheme="minorHAnsi" w:hAnsiTheme="minorHAnsi" w:cstheme="minorHAnsi"/>
        </w:rPr>
      </w:pPr>
      <w:r w:rsidRPr="005E7DD1">
        <w:rPr>
          <w:rFonts w:asciiTheme="minorHAnsi" w:hAnsiTheme="minorHAnsi" w:cstheme="minorHAnsi"/>
        </w:rPr>
        <w:t>In order to determine how a jurisdiction performed on our scorecard, we studied local laws and regulations in cities and counties in California</w:t>
      </w:r>
      <w:r w:rsidR="00F94D7B">
        <w:rPr>
          <w:rFonts w:asciiTheme="minorHAnsi" w:hAnsiTheme="minorHAnsi" w:cstheme="minorHAnsi"/>
        </w:rPr>
        <w:t xml:space="preserve"> and the State</w:t>
      </w:r>
      <w:r w:rsidRPr="005E7DD1">
        <w:rPr>
          <w:rFonts w:asciiTheme="minorHAnsi" w:hAnsiTheme="minorHAnsi" w:cstheme="minorHAnsi"/>
        </w:rPr>
        <w:t xml:space="preserve"> to understand the extent to which tobacco and alcohol control best practices had been incorporated into </w:t>
      </w:r>
      <w:r w:rsidR="00F94D7B">
        <w:rPr>
          <w:rFonts w:asciiTheme="minorHAnsi" w:hAnsiTheme="minorHAnsi" w:cstheme="minorHAnsi"/>
        </w:rPr>
        <w:t>cannabis</w:t>
      </w:r>
      <w:r w:rsidRPr="005E7DD1">
        <w:rPr>
          <w:rFonts w:asciiTheme="minorHAnsi" w:hAnsiTheme="minorHAnsi" w:cstheme="minorHAnsi"/>
        </w:rPr>
        <w:t xml:space="preserve"> policy. Local laws were verified using the </w:t>
      </w:r>
      <w:proofErr w:type="spellStart"/>
      <w:r w:rsidRPr="005E7DD1">
        <w:rPr>
          <w:rFonts w:asciiTheme="minorHAnsi" w:hAnsiTheme="minorHAnsi" w:cstheme="minorHAnsi"/>
          <w:i/>
          <w:iCs/>
        </w:rPr>
        <w:t>CannaRegs</w:t>
      </w:r>
      <w:proofErr w:type="spellEnd"/>
      <w:r w:rsidRPr="005E7DD1">
        <w:rPr>
          <w:rFonts w:asciiTheme="minorHAnsi" w:hAnsiTheme="minorHAnsi" w:cstheme="minorHAnsi"/>
        </w:rPr>
        <w:t xml:space="preserve"> commercial database, complemented by verification on jurisdictions’ websites and database</w:t>
      </w:r>
      <w:r w:rsidR="00F94D7B">
        <w:rPr>
          <w:rFonts w:asciiTheme="minorHAnsi" w:hAnsiTheme="minorHAnsi" w:cstheme="minorHAnsi"/>
        </w:rPr>
        <w:t>s</w:t>
      </w:r>
      <w:r w:rsidRPr="005E7DD1">
        <w:rPr>
          <w:rFonts w:asciiTheme="minorHAnsi" w:hAnsiTheme="minorHAnsi" w:cstheme="minorHAnsi"/>
        </w:rPr>
        <w:t xml:space="preserve"> of municipal law when needed. When status remained unclear, </w:t>
      </w:r>
      <w:r w:rsidR="00E377DE">
        <w:rPr>
          <w:rFonts w:asciiTheme="minorHAnsi" w:hAnsiTheme="minorHAnsi" w:cstheme="minorHAnsi"/>
        </w:rPr>
        <w:t>city or county clerks</w:t>
      </w:r>
      <w:r w:rsidR="00E377DE" w:rsidRPr="005E7DD1">
        <w:rPr>
          <w:rFonts w:asciiTheme="minorHAnsi" w:hAnsiTheme="minorHAnsi" w:cstheme="minorHAnsi"/>
        </w:rPr>
        <w:t xml:space="preserve"> </w:t>
      </w:r>
      <w:r w:rsidR="00E377DE">
        <w:rPr>
          <w:rFonts w:asciiTheme="minorHAnsi" w:hAnsiTheme="minorHAnsi" w:cstheme="minorHAnsi"/>
        </w:rPr>
        <w:t xml:space="preserve">or managers </w:t>
      </w:r>
      <w:r w:rsidRPr="005E7DD1">
        <w:rPr>
          <w:rFonts w:asciiTheme="minorHAnsi" w:hAnsiTheme="minorHAnsi" w:cstheme="minorHAnsi"/>
        </w:rPr>
        <w:t xml:space="preserve">were contacted directly. Laws passed through January 31, 2019 were included. State law and regulation was verified through the state cannabis portal. Random samples of cities (5%) and counties (10%) were iteratively coded by two independent coders and tested for inter-rater reliability, which reached 97% agreement. The remainder of jurisdictions were then coded by a single public health lawyer. </w:t>
      </w:r>
    </w:p>
    <w:p w14:paraId="2B094BCD" w14:textId="77777777" w:rsidR="008603BA" w:rsidRDefault="008603BA" w:rsidP="00EA7BF8">
      <w:pPr>
        <w:jc w:val="both"/>
        <w:rPr>
          <w:rFonts w:asciiTheme="minorHAnsi" w:hAnsiTheme="minorHAnsi" w:cstheme="minorHAnsi"/>
        </w:rPr>
      </w:pPr>
    </w:p>
    <w:p w14:paraId="5E1596A2" w14:textId="3CB99D1C" w:rsidR="00B053D3" w:rsidRPr="005E7DD1" w:rsidRDefault="008603BA" w:rsidP="00EA7BF8">
      <w:pPr>
        <w:jc w:val="both"/>
        <w:rPr>
          <w:rFonts w:asciiTheme="minorHAnsi" w:hAnsiTheme="minorHAnsi" w:cstheme="minorHAnsi"/>
        </w:rPr>
      </w:pPr>
      <w:r>
        <w:rPr>
          <w:rFonts w:asciiTheme="minorHAnsi" w:hAnsiTheme="minorHAnsi" w:cstheme="minorHAnsi"/>
        </w:rPr>
        <w:t>A</w:t>
      </w:r>
      <w:r w:rsidR="00F94D7B">
        <w:rPr>
          <w:rFonts w:asciiTheme="minorHAnsi" w:hAnsiTheme="minorHAnsi" w:cstheme="minorHAnsi"/>
        </w:rPr>
        <w:t xml:space="preserve">s local jurisdictions must comply with State requirements, the State’s </w:t>
      </w:r>
      <w:r>
        <w:rPr>
          <w:rFonts w:asciiTheme="minorHAnsi" w:hAnsiTheme="minorHAnsi" w:cstheme="minorHAnsi"/>
        </w:rPr>
        <w:t>score comprised the baseline score for all local jurisdictions, upon which those jurisdictions could build by implementing additional public health and social equity measures, or from which jurisdictions could subtract if they chose to enact policies that weakened the State’s requirements</w:t>
      </w:r>
      <w:r w:rsidR="007D5021">
        <w:rPr>
          <w:rFonts w:asciiTheme="minorHAnsi" w:hAnsiTheme="minorHAnsi" w:cstheme="minorHAnsi"/>
        </w:rPr>
        <w:t xml:space="preserve"> where allowed</w:t>
      </w:r>
      <w:r>
        <w:rPr>
          <w:rFonts w:asciiTheme="minorHAnsi" w:hAnsiTheme="minorHAnsi" w:cstheme="minorHAnsi"/>
        </w:rPr>
        <w:t>.</w:t>
      </w:r>
    </w:p>
    <w:p w14:paraId="08166461" w14:textId="77777777" w:rsidR="00B053D3" w:rsidRPr="005E7DD1" w:rsidRDefault="00B053D3" w:rsidP="00EA7BF8">
      <w:pPr>
        <w:jc w:val="both"/>
        <w:outlineLvl w:val="0"/>
        <w:rPr>
          <w:rFonts w:asciiTheme="minorHAnsi" w:hAnsiTheme="minorHAnsi" w:cstheme="minorHAnsi"/>
        </w:rPr>
      </w:pPr>
    </w:p>
    <w:p w14:paraId="49E69B45" w14:textId="0BD85CDB" w:rsidR="00A136C8" w:rsidRDefault="00DE1E77" w:rsidP="00DE1E77">
      <w:pPr>
        <w:outlineLvl w:val="0"/>
        <w:rPr>
          <w:rFonts w:asciiTheme="minorHAnsi" w:hAnsiTheme="minorHAnsi" w:cstheme="minorHAnsi"/>
          <w:highlight w:val="yellow"/>
        </w:rPr>
      </w:pPr>
      <w:r w:rsidRPr="005E7DD1">
        <w:rPr>
          <w:rFonts w:asciiTheme="minorHAnsi" w:hAnsiTheme="minorHAnsi" w:cstheme="minorHAnsi"/>
        </w:rPr>
        <w:lastRenderedPageBreak/>
        <w:t xml:space="preserve">As of </w:t>
      </w:r>
      <w:r w:rsidR="007A6306">
        <w:rPr>
          <w:rFonts w:asciiTheme="minorHAnsi" w:hAnsiTheme="minorHAnsi" w:cstheme="minorHAnsi"/>
        </w:rPr>
        <w:t xml:space="preserve">January 31, </w:t>
      </w:r>
      <w:r w:rsidRPr="005E7DD1">
        <w:rPr>
          <w:rFonts w:asciiTheme="minorHAnsi" w:hAnsiTheme="minorHAnsi" w:cstheme="minorHAnsi"/>
        </w:rPr>
        <w:t>201</w:t>
      </w:r>
      <w:r w:rsidR="007A6306">
        <w:rPr>
          <w:rFonts w:asciiTheme="minorHAnsi" w:hAnsiTheme="minorHAnsi" w:cstheme="minorHAnsi"/>
        </w:rPr>
        <w:t>9</w:t>
      </w:r>
      <w:r w:rsidRPr="005E7DD1">
        <w:rPr>
          <w:rFonts w:asciiTheme="minorHAnsi" w:hAnsiTheme="minorHAnsi" w:cstheme="minorHAnsi"/>
        </w:rPr>
        <w:t xml:space="preserve">, </w:t>
      </w:r>
      <w:r w:rsidR="007A6306">
        <w:rPr>
          <w:rFonts w:asciiTheme="minorHAnsi" w:hAnsiTheme="minorHAnsi" w:cstheme="minorHAnsi"/>
        </w:rPr>
        <w:t>51%</w:t>
      </w:r>
      <w:r w:rsidRPr="005E7DD1">
        <w:rPr>
          <w:rFonts w:asciiTheme="minorHAnsi" w:hAnsiTheme="minorHAnsi" w:cstheme="minorHAnsi"/>
        </w:rPr>
        <w:t xml:space="preserve"> of California’s cities and counties had not legalized any form of retail cannabis</w:t>
      </w:r>
      <w:r w:rsidR="00D630BC">
        <w:rPr>
          <w:rFonts w:asciiTheme="minorHAnsi" w:hAnsiTheme="minorHAnsi" w:cstheme="minorHAnsi"/>
        </w:rPr>
        <w:t xml:space="preserve"> sale</w:t>
      </w:r>
      <w:r w:rsidR="00F94D7B">
        <w:rPr>
          <w:rFonts w:asciiTheme="minorHAnsi" w:hAnsiTheme="minorHAnsi" w:cstheme="minorHAnsi"/>
        </w:rPr>
        <w:t xml:space="preserve"> </w:t>
      </w:r>
      <w:r w:rsidRPr="005E7DD1">
        <w:rPr>
          <w:rFonts w:asciiTheme="minorHAnsi" w:hAnsiTheme="minorHAnsi" w:cstheme="minorHAnsi"/>
        </w:rPr>
        <w:t>(medical or adult-use</w:t>
      </w:r>
      <w:r w:rsidR="00F94D7B">
        <w:rPr>
          <w:rFonts w:asciiTheme="minorHAnsi" w:hAnsiTheme="minorHAnsi" w:cstheme="minorHAnsi"/>
        </w:rPr>
        <w:t>; storefront or delivery</w:t>
      </w:r>
      <w:r w:rsidRPr="005E7DD1">
        <w:rPr>
          <w:rFonts w:asciiTheme="minorHAnsi" w:hAnsiTheme="minorHAnsi" w:cstheme="minorHAnsi"/>
        </w:rPr>
        <w:t>)</w:t>
      </w:r>
      <w:r w:rsidR="00EB2BE4">
        <w:rPr>
          <w:rFonts w:asciiTheme="minorHAnsi" w:hAnsiTheme="minorHAnsi" w:cstheme="minorHAnsi"/>
        </w:rPr>
        <w:t>.</w:t>
      </w:r>
      <w:r w:rsidR="00F94D7B">
        <w:rPr>
          <w:rFonts w:asciiTheme="minorHAnsi" w:hAnsiTheme="minorHAnsi" w:cstheme="minorHAnsi"/>
        </w:rPr>
        <w:t xml:space="preserve"> </w:t>
      </w:r>
      <w:r w:rsidR="00EA7BF8">
        <w:rPr>
          <w:rFonts w:asciiTheme="minorHAnsi" w:hAnsiTheme="minorHAnsi" w:cstheme="minorHAnsi"/>
        </w:rPr>
        <w:t>As such</w:t>
      </w:r>
      <w:r w:rsidR="00EB2BE4">
        <w:rPr>
          <w:rFonts w:asciiTheme="minorHAnsi" w:hAnsiTheme="minorHAnsi" w:cstheme="minorHAnsi"/>
        </w:rPr>
        <w:t xml:space="preserve">, they will not receive </w:t>
      </w:r>
      <w:r w:rsidR="00D630BC">
        <w:rPr>
          <w:rFonts w:asciiTheme="minorHAnsi" w:hAnsiTheme="minorHAnsi" w:cstheme="minorHAnsi"/>
        </w:rPr>
        <w:t xml:space="preserve">progress reports. </w:t>
      </w:r>
      <w:r w:rsidR="001B4E37">
        <w:rPr>
          <w:rFonts w:asciiTheme="minorHAnsi" w:hAnsiTheme="minorHAnsi" w:cstheme="minorHAnsi"/>
        </w:rPr>
        <w:t xml:space="preserve">116 </w:t>
      </w:r>
      <w:r w:rsidR="007D5021">
        <w:rPr>
          <w:rFonts w:asciiTheme="minorHAnsi" w:hAnsiTheme="minorHAnsi" w:cstheme="minorHAnsi"/>
        </w:rPr>
        <w:t xml:space="preserve">opted only to allow delivery models. This first round of scorecards addresses only those which legalized storefront commerce. </w:t>
      </w:r>
      <w:r w:rsidR="00D630BC" w:rsidRPr="008C70EE">
        <w:rPr>
          <w:rFonts w:asciiTheme="minorHAnsi" w:hAnsiTheme="minorHAnsi" w:cstheme="minorHAnsi"/>
          <w:b/>
          <w:bCs/>
        </w:rPr>
        <w:t>Because, as yet, it is unclear whether legalization will bring net benefit or harm, we do not wish to judge these jurisdictions where legalization</w:t>
      </w:r>
      <w:r w:rsidR="00EA7BF8" w:rsidRPr="008C70EE">
        <w:rPr>
          <w:rFonts w:asciiTheme="minorHAnsi" w:hAnsiTheme="minorHAnsi" w:cstheme="minorHAnsi"/>
          <w:b/>
          <w:bCs/>
        </w:rPr>
        <w:t xml:space="preserve"> </w:t>
      </w:r>
      <w:r w:rsidR="007D5021">
        <w:rPr>
          <w:rFonts w:asciiTheme="minorHAnsi" w:hAnsiTheme="minorHAnsi" w:cstheme="minorHAnsi"/>
          <w:b/>
          <w:bCs/>
        </w:rPr>
        <w:t xml:space="preserve">of commerce did not </w:t>
      </w:r>
      <w:r w:rsidR="00EA7BF8" w:rsidRPr="008C70EE">
        <w:rPr>
          <w:rFonts w:asciiTheme="minorHAnsi" w:hAnsiTheme="minorHAnsi" w:cstheme="minorHAnsi"/>
          <w:b/>
          <w:bCs/>
        </w:rPr>
        <w:t>occur</w:t>
      </w:r>
      <w:r w:rsidR="00D630BC" w:rsidRPr="008C70EE">
        <w:rPr>
          <w:rFonts w:asciiTheme="minorHAnsi" w:hAnsiTheme="minorHAnsi" w:cstheme="minorHAnsi"/>
          <w:b/>
          <w:bCs/>
        </w:rPr>
        <w:t>, but rather to answer the question – if you legalized, did you take steps to protect public health and social equity within that process?</w:t>
      </w:r>
    </w:p>
    <w:p w14:paraId="3A1438B8" w14:textId="77777777" w:rsidR="00EA7BF8" w:rsidRDefault="00EA7BF8" w:rsidP="00DE1E77">
      <w:pPr>
        <w:outlineLvl w:val="0"/>
        <w:rPr>
          <w:rFonts w:asciiTheme="minorHAnsi" w:hAnsiTheme="minorHAnsi" w:cstheme="minorHAnsi"/>
          <w:highlight w:val="yellow"/>
        </w:rPr>
      </w:pPr>
    </w:p>
    <w:p w14:paraId="2263BF53" w14:textId="1F9A49DF" w:rsidR="008A43CF" w:rsidRPr="00A136C8" w:rsidRDefault="00B053D3" w:rsidP="00B053D3">
      <w:pPr>
        <w:outlineLvl w:val="0"/>
        <w:rPr>
          <w:rFonts w:asciiTheme="minorHAnsi" w:hAnsiTheme="minorHAnsi" w:cstheme="minorHAnsi"/>
          <w:b/>
          <w:color w:val="4472C4" w:themeColor="accent1"/>
          <w:sz w:val="32"/>
          <w:szCs w:val="32"/>
          <w:u w:val="single"/>
        </w:rPr>
      </w:pPr>
      <w:r w:rsidRPr="00A136C8">
        <w:rPr>
          <w:rFonts w:asciiTheme="minorHAnsi" w:hAnsiTheme="minorHAnsi" w:cstheme="minorHAnsi"/>
          <w:b/>
          <w:color w:val="4472C4" w:themeColor="accent1"/>
          <w:sz w:val="32"/>
          <w:szCs w:val="32"/>
          <w:u w:val="single"/>
        </w:rPr>
        <w:t>SCORECARD</w:t>
      </w:r>
    </w:p>
    <w:p w14:paraId="59ADB251" w14:textId="77777777" w:rsidR="002C4495" w:rsidRPr="005E7DD1" w:rsidRDefault="002C4495" w:rsidP="00DE1E77">
      <w:pPr>
        <w:outlineLvl w:val="0"/>
        <w:rPr>
          <w:rFonts w:asciiTheme="minorHAnsi" w:hAnsiTheme="minorHAnsi" w:cstheme="minorHAnsi"/>
          <w:b/>
          <w:color w:val="4472C4" w:themeColor="accent1"/>
        </w:rPr>
      </w:pPr>
    </w:p>
    <w:p w14:paraId="1BD17565" w14:textId="757EF5CE" w:rsidR="002C4495" w:rsidRPr="005E7DD1" w:rsidRDefault="002C4495" w:rsidP="00DE1E77">
      <w:pPr>
        <w:outlineLvl w:val="0"/>
        <w:rPr>
          <w:rFonts w:asciiTheme="minorHAnsi" w:hAnsiTheme="minorHAnsi" w:cstheme="minorHAnsi"/>
          <w:b/>
          <w:color w:val="4472C4" w:themeColor="accent1"/>
        </w:rPr>
      </w:pPr>
      <w:r w:rsidRPr="005E7DD1">
        <w:rPr>
          <w:rFonts w:asciiTheme="minorHAnsi" w:hAnsiTheme="minorHAnsi" w:cstheme="minorHAnsi"/>
          <w:b/>
          <w:color w:val="4472C4" w:themeColor="accent1"/>
        </w:rPr>
        <w:t xml:space="preserve">CATEGORY ONE: </w:t>
      </w:r>
      <w:r w:rsidR="00DE1E77" w:rsidRPr="005E7DD1">
        <w:rPr>
          <w:rFonts w:asciiTheme="minorHAnsi" w:hAnsiTheme="minorHAnsi" w:cstheme="minorHAnsi"/>
          <w:b/>
          <w:color w:val="4472C4" w:themeColor="accent1"/>
        </w:rPr>
        <w:t>R</w:t>
      </w:r>
      <w:r w:rsidRPr="005E7DD1">
        <w:rPr>
          <w:rFonts w:asciiTheme="minorHAnsi" w:hAnsiTheme="minorHAnsi" w:cstheme="minorHAnsi"/>
          <w:b/>
          <w:color w:val="4472C4" w:themeColor="accent1"/>
        </w:rPr>
        <w:t>ETAILER REQUIREMENTS</w:t>
      </w:r>
    </w:p>
    <w:p w14:paraId="74733863" w14:textId="5B921669" w:rsidR="00201841" w:rsidRPr="005E7DD1" w:rsidRDefault="002C4495" w:rsidP="00DE1E77">
      <w:pPr>
        <w:pStyle w:val="BasicParagraph"/>
        <w:spacing w:after="120" w:line="240" w:lineRule="auto"/>
        <w:jc w:val="both"/>
        <w:rPr>
          <w:rFonts w:asciiTheme="minorHAnsi" w:hAnsiTheme="minorHAnsi" w:cstheme="minorHAnsi"/>
          <w:color w:val="000000" w:themeColor="text1"/>
        </w:rPr>
      </w:pPr>
      <w:r w:rsidRPr="005E7DD1">
        <w:rPr>
          <w:rFonts w:asciiTheme="minorHAnsi" w:hAnsiTheme="minorHAnsi" w:cstheme="minorHAnsi"/>
          <w:color w:val="000000" w:themeColor="text1"/>
        </w:rPr>
        <w:t>Based on the peer-reviewed evidence, placing strategic limits on cannabis retailers can have a positive impact on youth use and exposure to cannabis.</w:t>
      </w:r>
      <w:r w:rsidR="007A6306">
        <w:rPr>
          <w:rFonts w:asciiTheme="minorHAnsi" w:hAnsiTheme="minorHAnsi" w:cstheme="minorHAnsi"/>
          <w:color w:val="000000" w:themeColor="text1"/>
        </w:rPr>
        <w:t xml:space="preserve"> </w:t>
      </w:r>
      <w:r w:rsidR="00DE1E77" w:rsidRPr="005E7DD1">
        <w:rPr>
          <w:rFonts w:asciiTheme="minorHAnsi" w:hAnsiTheme="minorHAnsi" w:cstheme="minorHAnsi"/>
          <w:bCs/>
        </w:rPr>
        <w:t>A</w:t>
      </w:r>
      <w:r w:rsidR="00DE1E77" w:rsidRPr="005E7DD1">
        <w:rPr>
          <w:rFonts w:asciiTheme="minorHAnsi" w:hAnsiTheme="minorHAnsi" w:cstheme="minorHAnsi"/>
        </w:rPr>
        <w:t xml:space="preserve"> review of 33 California communities with strong tobacco retailer licensing ordinances showed that the youth sales rate declined in 31 of these communities after the ordinances were enacted, with an average decrease of 26 percent in the youth sales rate.</w:t>
      </w:r>
      <w:r w:rsidR="00201841" w:rsidRPr="005E7DD1">
        <w:rPr>
          <w:rStyle w:val="FootnoteReference"/>
          <w:rFonts w:asciiTheme="minorHAnsi" w:hAnsiTheme="minorHAnsi" w:cstheme="minorHAnsi"/>
        </w:rPr>
        <w:footnoteReference w:id="8"/>
      </w:r>
      <w:r w:rsidR="00A136C8">
        <w:rPr>
          <w:rFonts w:asciiTheme="minorHAnsi" w:hAnsiTheme="minorHAnsi" w:cstheme="minorHAnsi"/>
        </w:rPr>
        <w:t xml:space="preserve"> </w:t>
      </w:r>
      <w:r w:rsidR="00DE1E77" w:rsidRPr="005E7DD1">
        <w:rPr>
          <w:rFonts w:asciiTheme="minorHAnsi" w:hAnsiTheme="minorHAnsi" w:cstheme="minorHAnsi"/>
        </w:rPr>
        <w:t xml:space="preserve">Furthermore, </w:t>
      </w:r>
      <w:r w:rsidR="00DE1E77" w:rsidRPr="005E7DD1">
        <w:rPr>
          <w:rFonts w:asciiTheme="minorHAnsi" w:hAnsiTheme="minorHAnsi" w:cstheme="minorHAnsi"/>
          <w:color w:val="000000" w:themeColor="text1"/>
        </w:rPr>
        <w:t>the density of tobacco retailers, particularly in neighborhoods surrounding schools, has been associated with increased youth smoking rates</w:t>
      </w:r>
      <w:r w:rsidR="00542B25">
        <w:rPr>
          <w:rFonts w:asciiTheme="minorHAnsi" w:hAnsiTheme="minorHAnsi" w:cstheme="minorHAnsi"/>
          <w:color w:val="000000" w:themeColor="text1"/>
        </w:rPr>
        <w:t>,</w:t>
      </w:r>
      <w:r w:rsidR="00201841" w:rsidRPr="005E7DD1">
        <w:rPr>
          <w:rStyle w:val="FootnoteReference"/>
          <w:rFonts w:asciiTheme="minorHAnsi" w:hAnsiTheme="minorHAnsi" w:cstheme="minorHAnsi"/>
          <w:color w:val="000000" w:themeColor="text1"/>
        </w:rPr>
        <w:footnoteReference w:id="9"/>
      </w:r>
      <w:r w:rsidR="00201841" w:rsidRPr="005E7DD1">
        <w:rPr>
          <w:rFonts w:asciiTheme="minorHAnsi" w:hAnsiTheme="minorHAnsi" w:cstheme="minorHAnsi"/>
          <w:color w:val="000000" w:themeColor="text1"/>
        </w:rPr>
        <w:t xml:space="preserve"> </w:t>
      </w:r>
      <w:r w:rsidR="00DE1E77" w:rsidRPr="005E7DD1">
        <w:rPr>
          <w:rFonts w:asciiTheme="minorHAnsi" w:hAnsiTheme="minorHAnsi" w:cstheme="minorHAnsi"/>
          <w:color w:val="000000" w:themeColor="text1"/>
        </w:rPr>
        <w:t>and a California study found that the density of tobacco retailers near schools was positively associated with the prevalence of students reporting experimental smoking.</w:t>
      </w:r>
      <w:r w:rsidR="00201841" w:rsidRPr="005E7DD1">
        <w:rPr>
          <w:rStyle w:val="FootnoteReference"/>
          <w:rFonts w:asciiTheme="minorHAnsi" w:hAnsiTheme="minorHAnsi" w:cstheme="minorHAnsi"/>
          <w:color w:val="000000" w:themeColor="text1"/>
        </w:rPr>
        <w:footnoteReference w:id="10"/>
      </w:r>
      <w:r w:rsidR="007D5021">
        <w:rPr>
          <w:rFonts w:asciiTheme="minorHAnsi" w:hAnsiTheme="minorHAnsi" w:cstheme="minorHAnsi"/>
          <w:color w:val="000000" w:themeColor="text1"/>
        </w:rPr>
        <w:t xml:space="preserve"> Cannabis policy research is providing similar results.</w:t>
      </w:r>
      <w:r w:rsidR="003B6C8F">
        <w:rPr>
          <w:rFonts w:asciiTheme="minorHAnsi" w:hAnsiTheme="minorHAnsi" w:cstheme="minorHAnsi"/>
          <w:color w:val="000000" w:themeColor="text1"/>
        </w:rPr>
        <w:t xml:space="preserve"> </w:t>
      </w:r>
    </w:p>
    <w:p w14:paraId="07111528" w14:textId="5F84335B" w:rsidR="00DE1E77" w:rsidRPr="005E7DD1" w:rsidRDefault="00DE1E77" w:rsidP="00DE1E77">
      <w:pPr>
        <w:pStyle w:val="BasicParagraph"/>
        <w:spacing w:after="120" w:line="240" w:lineRule="auto"/>
        <w:jc w:val="both"/>
        <w:rPr>
          <w:rFonts w:asciiTheme="minorHAnsi" w:hAnsiTheme="minorHAnsi" w:cstheme="minorHAnsi"/>
          <w:color w:val="000000" w:themeColor="text1"/>
        </w:rPr>
      </w:pPr>
      <w:r w:rsidRPr="005E7DD1">
        <w:rPr>
          <w:rFonts w:asciiTheme="minorHAnsi" w:hAnsiTheme="minorHAnsi" w:cstheme="minorHAnsi"/>
          <w:color w:val="000000" w:themeColor="text1"/>
        </w:rPr>
        <w:t xml:space="preserve">There are six subcategories under Retailer </w:t>
      </w:r>
      <w:r w:rsidR="00201841" w:rsidRPr="005E7DD1">
        <w:rPr>
          <w:rFonts w:asciiTheme="minorHAnsi" w:hAnsiTheme="minorHAnsi" w:cstheme="minorHAnsi"/>
          <w:color w:val="000000" w:themeColor="text1"/>
        </w:rPr>
        <w:t>Requirements</w:t>
      </w:r>
      <w:r w:rsidRPr="005E7DD1">
        <w:rPr>
          <w:rFonts w:asciiTheme="minorHAnsi" w:hAnsiTheme="minorHAnsi" w:cstheme="minorHAnsi"/>
          <w:color w:val="000000" w:themeColor="text1"/>
        </w:rPr>
        <w:t xml:space="preserve">: 1) Caps on retail dispensaries, 2) Required distance from schools greater than state law, 3) Additional location restrictions (parks, libraries, universities, residential area), 4) Required distances between retail dispensaries, 5) Required posted health warnings in dispensaries, 6) Required health warnings handed out to consumers. Each subcategory is worth different points with more points awarded to those subcategories with the greatest impact on youth and public health protection. </w:t>
      </w:r>
    </w:p>
    <w:p w14:paraId="0ED2FB17" w14:textId="33A8BA2D" w:rsidR="00DE1E77" w:rsidRPr="005E7DD1" w:rsidRDefault="00DE1E77">
      <w:pPr>
        <w:rPr>
          <w:rFonts w:asciiTheme="minorHAnsi" w:hAnsiTheme="minorHAnsi" w:cstheme="minorHAnsi"/>
        </w:rPr>
      </w:pPr>
    </w:p>
    <w:p w14:paraId="44E742BD" w14:textId="3C88BB43" w:rsidR="002C4495" w:rsidRPr="00EA7BF8" w:rsidRDefault="00DE1E77" w:rsidP="00D04FF4">
      <w:pPr>
        <w:pStyle w:val="BasicParagraph"/>
        <w:spacing w:line="240" w:lineRule="auto"/>
        <w:jc w:val="both"/>
        <w:rPr>
          <w:rFonts w:asciiTheme="minorHAnsi" w:hAnsiTheme="minorHAnsi" w:cstheme="minorHAnsi"/>
          <w:b/>
          <w:color w:val="4472C4" w:themeColor="accent1"/>
        </w:rPr>
      </w:pPr>
      <w:r w:rsidRPr="00EA7BF8">
        <w:rPr>
          <w:rFonts w:asciiTheme="minorHAnsi" w:hAnsiTheme="minorHAnsi" w:cstheme="minorHAnsi"/>
          <w:b/>
          <w:color w:val="4472C4" w:themeColor="accent1"/>
        </w:rPr>
        <w:t xml:space="preserve">Caps on </w:t>
      </w:r>
      <w:r w:rsidR="002C4495" w:rsidRPr="00EA7BF8">
        <w:rPr>
          <w:rFonts w:asciiTheme="minorHAnsi" w:hAnsiTheme="minorHAnsi" w:cstheme="minorHAnsi"/>
          <w:b/>
          <w:color w:val="4472C4" w:themeColor="accent1"/>
        </w:rPr>
        <w:t>Retailers</w:t>
      </w:r>
      <w:r w:rsidRPr="00EA7BF8">
        <w:rPr>
          <w:rFonts w:asciiTheme="minorHAnsi" w:hAnsiTheme="minorHAnsi" w:cstheme="minorHAnsi"/>
          <w:b/>
          <w:color w:val="4472C4" w:themeColor="accent1"/>
        </w:rPr>
        <w:t xml:space="preserve"> (Max 10 points)</w:t>
      </w:r>
    </w:p>
    <w:p w14:paraId="5D049458" w14:textId="21A7270A" w:rsidR="0053298B" w:rsidRPr="005E7DD1" w:rsidRDefault="0053298B" w:rsidP="00DE1E77">
      <w:pPr>
        <w:pStyle w:val="BasicParagraph"/>
        <w:spacing w:after="120" w:line="240" w:lineRule="auto"/>
        <w:jc w:val="both"/>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Description: </w:t>
      </w:r>
      <w:r w:rsidRPr="005E7DD1">
        <w:rPr>
          <w:rFonts w:asciiTheme="minorHAnsi" w:hAnsiTheme="minorHAnsi" w:cstheme="minorHAnsi"/>
          <w:color w:val="000000" w:themeColor="text1"/>
        </w:rPr>
        <w:t xml:space="preserve">Limiting the number of licensed retailers to a specified number of inhabitants. We recommend </w:t>
      </w:r>
      <w:r w:rsidR="000D76B3">
        <w:rPr>
          <w:rFonts w:asciiTheme="minorHAnsi" w:hAnsiTheme="minorHAnsi" w:cstheme="minorHAnsi"/>
          <w:color w:val="000000" w:themeColor="text1"/>
        </w:rPr>
        <w:t xml:space="preserve">that retailers should not exceed </w:t>
      </w:r>
      <w:r w:rsidRPr="005E7DD1">
        <w:rPr>
          <w:rFonts w:asciiTheme="minorHAnsi" w:hAnsiTheme="minorHAnsi" w:cstheme="minorHAnsi"/>
          <w:color w:val="000000" w:themeColor="text1"/>
        </w:rPr>
        <w:t xml:space="preserve">1:15,000 inhabitants. </w:t>
      </w:r>
    </w:p>
    <w:p w14:paraId="37D7C18F" w14:textId="04F53F38" w:rsidR="0053298B" w:rsidRPr="005E7DD1" w:rsidRDefault="0053298B" w:rsidP="00DE1E77">
      <w:pPr>
        <w:pStyle w:val="BasicParagraph"/>
        <w:spacing w:after="120" w:line="240" w:lineRule="auto"/>
        <w:jc w:val="both"/>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State Law: </w:t>
      </w:r>
      <w:r w:rsidR="000D76B3">
        <w:rPr>
          <w:rFonts w:asciiTheme="minorHAnsi" w:hAnsiTheme="minorHAnsi" w:cstheme="minorHAnsi"/>
          <w:color w:val="000000" w:themeColor="text1"/>
        </w:rPr>
        <w:t>Does not provide any limit to the number of retailers.</w:t>
      </w:r>
      <w:r w:rsidR="008603BA">
        <w:rPr>
          <w:rFonts w:asciiTheme="minorHAnsi" w:hAnsiTheme="minorHAnsi" w:cstheme="minorHAnsi"/>
          <w:color w:val="000000" w:themeColor="text1"/>
        </w:rPr>
        <w:t xml:space="preserve"> Score: 0.</w:t>
      </w:r>
    </w:p>
    <w:p w14:paraId="350EC103" w14:textId="5BC3C64E" w:rsidR="00D2693A" w:rsidRPr="005E7DD1" w:rsidRDefault="0053298B" w:rsidP="00DE1E77">
      <w:pPr>
        <w:pStyle w:val="BasicParagraph"/>
        <w:spacing w:after="120" w:line="240" w:lineRule="auto"/>
        <w:jc w:val="both"/>
        <w:rPr>
          <w:rFonts w:asciiTheme="minorHAnsi" w:hAnsiTheme="minorHAnsi" w:cstheme="minorHAnsi"/>
          <w:b/>
          <w:color w:val="000000" w:themeColor="text1"/>
        </w:rPr>
      </w:pPr>
      <w:r w:rsidRPr="005E7DD1">
        <w:rPr>
          <w:rFonts w:asciiTheme="minorHAnsi" w:hAnsiTheme="minorHAnsi" w:cstheme="minorHAnsi"/>
          <w:b/>
          <w:color w:val="000000" w:themeColor="text1"/>
        </w:rPr>
        <w:t>Rationale</w:t>
      </w:r>
      <w:r w:rsidR="00AA18A0">
        <w:rPr>
          <w:rFonts w:asciiTheme="minorHAnsi" w:hAnsiTheme="minorHAnsi" w:cstheme="minorHAnsi"/>
          <w:b/>
          <w:color w:val="000000" w:themeColor="text1"/>
        </w:rPr>
        <w:t xml:space="preserve"> &amp; Points</w:t>
      </w:r>
      <w:r w:rsidRPr="005E7DD1">
        <w:rPr>
          <w:rFonts w:asciiTheme="minorHAnsi" w:hAnsiTheme="minorHAnsi" w:cstheme="minorHAnsi"/>
          <w:b/>
          <w:color w:val="000000" w:themeColor="text1"/>
        </w:rPr>
        <w:t xml:space="preserve">: </w:t>
      </w:r>
      <w:r w:rsidR="00DE1E77" w:rsidRPr="005E7DD1">
        <w:rPr>
          <w:rFonts w:asciiTheme="minorHAnsi" w:hAnsiTheme="minorHAnsi" w:cstheme="minorHAnsi"/>
        </w:rPr>
        <w:t xml:space="preserve">A recent study found that higher dispensary density in states with legal cannabis laws was associated with higher likelihood of youth ages 14-18 experimenting with </w:t>
      </w:r>
      <w:r w:rsidR="00DE1E77" w:rsidRPr="005E7DD1">
        <w:rPr>
          <w:rFonts w:asciiTheme="minorHAnsi" w:hAnsiTheme="minorHAnsi" w:cstheme="minorHAnsi"/>
        </w:rPr>
        <w:lastRenderedPageBreak/>
        <w:t>cannabis vaping and edibles.</w:t>
      </w:r>
      <w:r w:rsidR="00D2693A" w:rsidRPr="005E7DD1">
        <w:rPr>
          <w:rStyle w:val="FootnoteReference"/>
          <w:rFonts w:asciiTheme="minorHAnsi" w:hAnsiTheme="minorHAnsi" w:cstheme="minorHAnsi"/>
        </w:rPr>
        <w:footnoteReference w:id="11"/>
      </w:r>
      <w:r w:rsidR="00DE1E77" w:rsidRPr="005E7DD1">
        <w:rPr>
          <w:rFonts w:asciiTheme="minorHAnsi" w:hAnsiTheme="minorHAnsi" w:cstheme="minorHAnsi"/>
        </w:rPr>
        <w:t xml:space="preserve"> Even density of legal cannabis dispensaries as low as 1/100,000 residents were associated with increases.</w:t>
      </w:r>
      <w:r w:rsidR="00DE1E77" w:rsidRPr="005E7DD1">
        <w:rPr>
          <w:rStyle w:val="FootnoteReference"/>
          <w:rFonts w:asciiTheme="minorHAnsi" w:hAnsiTheme="minorHAnsi" w:cstheme="minorHAnsi"/>
        </w:rPr>
        <w:footnoteReference w:id="12"/>
      </w:r>
      <w:r w:rsidR="000D76B3">
        <w:rPr>
          <w:rFonts w:asciiTheme="minorHAnsi" w:hAnsiTheme="minorHAnsi" w:cstheme="minorHAnsi"/>
        </w:rPr>
        <w:t xml:space="preserve"> </w:t>
      </w:r>
      <w:r w:rsidR="000D76B3" w:rsidRPr="005E7DD1">
        <w:rPr>
          <w:rFonts w:asciiTheme="minorHAnsi" w:hAnsiTheme="minorHAnsi" w:cstheme="minorHAnsi"/>
          <w:shd w:val="clear" w:color="auto" w:fill="FFFFFF"/>
        </w:rPr>
        <w:t xml:space="preserve">In a Health Impact Assessment by Los Angeles County, </w:t>
      </w:r>
      <w:r w:rsidR="000D76B3">
        <w:rPr>
          <w:rFonts w:asciiTheme="minorHAnsi" w:hAnsiTheme="minorHAnsi" w:cstheme="minorHAnsi"/>
          <w:shd w:val="clear" w:color="auto" w:fill="FFFFFF"/>
        </w:rPr>
        <w:t>each</w:t>
      </w:r>
      <w:r w:rsidR="000D76B3" w:rsidRPr="005E7DD1">
        <w:rPr>
          <w:rFonts w:asciiTheme="minorHAnsi" w:hAnsiTheme="minorHAnsi" w:cstheme="minorHAnsi"/>
        </w:rPr>
        <w:t xml:space="preserve"> additional dispensary per square mile in a zip code was cross-sectionally associated with a 7.1% increase in the number of cannabis-related emergency department visits.</w:t>
      </w:r>
      <w:r w:rsidR="000D76B3" w:rsidRPr="005E7DD1">
        <w:rPr>
          <w:rStyle w:val="FootnoteReference"/>
          <w:rFonts w:asciiTheme="minorHAnsi" w:hAnsiTheme="minorHAnsi" w:cstheme="minorHAnsi"/>
        </w:rPr>
        <w:footnoteReference w:id="13"/>
      </w:r>
      <w:r w:rsidR="000D76B3" w:rsidRPr="005E7DD1">
        <w:rPr>
          <w:rFonts w:asciiTheme="minorHAnsi" w:hAnsiTheme="minorHAnsi" w:cstheme="minorHAnsi"/>
        </w:rPr>
        <w:t xml:space="preserve"> </w:t>
      </w:r>
      <w:r w:rsidR="00DE1E77" w:rsidRPr="005E7DD1">
        <w:rPr>
          <w:rFonts w:asciiTheme="minorHAnsi" w:hAnsiTheme="minorHAnsi" w:cstheme="minorHAnsi"/>
        </w:rPr>
        <w:t>Similarly, a review of studies of tobacco retailer density and adolescent smoking found that</w:t>
      </w:r>
      <w:r w:rsidR="00DE1E77" w:rsidRPr="005E7DD1">
        <w:rPr>
          <w:rFonts w:asciiTheme="minorHAnsi" w:hAnsiTheme="minorHAnsi" w:cstheme="minorHAnsi"/>
          <w:shd w:val="clear" w:color="auto" w:fill="FFFFFF"/>
        </w:rPr>
        <w:t xml:space="preserve"> tobacco retailer </w:t>
      </w:r>
      <w:r w:rsidR="00DE1E77" w:rsidRPr="005E7DD1">
        <w:rPr>
          <w:rFonts w:asciiTheme="minorHAnsi" w:hAnsiTheme="minorHAnsi" w:cstheme="minorHAnsi"/>
          <w:bCs/>
          <w:shd w:val="clear" w:color="auto" w:fill="FFFFFF"/>
        </w:rPr>
        <w:t>density</w:t>
      </w:r>
      <w:r w:rsidR="00DE1E77" w:rsidRPr="005E7DD1">
        <w:rPr>
          <w:rFonts w:asciiTheme="minorHAnsi" w:hAnsiTheme="minorHAnsi" w:cstheme="minorHAnsi"/>
          <w:shd w:val="clear" w:color="auto" w:fill="FFFFFF"/>
        </w:rPr>
        <w:t> and proximity were correlated with adolescent lifetime smoking, past 12-month smoking, past 30-day smoking, and susceptibility to smoking.</w:t>
      </w:r>
      <w:r w:rsidR="00DE1E77" w:rsidRPr="005E7DD1">
        <w:rPr>
          <w:rStyle w:val="FootnoteReference"/>
          <w:rFonts w:asciiTheme="minorHAnsi" w:hAnsiTheme="minorHAnsi" w:cstheme="minorHAnsi"/>
          <w:shd w:val="clear" w:color="auto" w:fill="FFFFFF"/>
        </w:rPr>
        <w:footnoteReference w:id="14"/>
      </w:r>
      <w:r w:rsidR="00DE1E77" w:rsidRPr="005E7DD1">
        <w:rPr>
          <w:rFonts w:asciiTheme="minorHAnsi" w:hAnsiTheme="minorHAnsi" w:cstheme="minorHAnsi"/>
          <w:shd w:val="clear" w:color="auto" w:fill="FFFFFF"/>
        </w:rPr>
        <w:t xml:space="preserve"> Studies have consistently found a relationship between greater alcohol outlet </w:t>
      </w:r>
      <w:r w:rsidR="00DE1E77" w:rsidRPr="005E7DD1">
        <w:rPr>
          <w:rFonts w:asciiTheme="minorHAnsi" w:hAnsiTheme="minorHAnsi" w:cstheme="minorHAnsi"/>
          <w:bCs/>
          <w:shd w:val="clear" w:color="auto" w:fill="FFFFFF"/>
        </w:rPr>
        <w:t>density</w:t>
      </w:r>
      <w:r w:rsidR="00DE1E77" w:rsidRPr="005E7DD1">
        <w:rPr>
          <w:rFonts w:asciiTheme="minorHAnsi" w:hAnsiTheme="minorHAnsi" w:cstheme="minorHAnsi"/>
          <w:shd w:val="clear" w:color="auto" w:fill="FFFFFF"/>
        </w:rPr>
        <w:t> with increased </w:t>
      </w:r>
      <w:r w:rsidR="00DE1E77" w:rsidRPr="005E7DD1">
        <w:rPr>
          <w:rFonts w:asciiTheme="minorHAnsi" w:hAnsiTheme="minorHAnsi" w:cstheme="minorHAnsi"/>
          <w:bCs/>
          <w:shd w:val="clear" w:color="auto" w:fill="FFFFFF"/>
        </w:rPr>
        <w:t>alcohol</w:t>
      </w:r>
      <w:r w:rsidR="00DE1E77" w:rsidRPr="005E7DD1">
        <w:rPr>
          <w:rFonts w:asciiTheme="minorHAnsi" w:hAnsiTheme="minorHAnsi" w:cstheme="minorHAnsi"/>
          <w:shd w:val="clear" w:color="auto" w:fill="FFFFFF"/>
        </w:rPr>
        <w:t> consumption and related harms, including medical harms, injury, crime, and violence.</w:t>
      </w:r>
      <w:r w:rsidR="00DE1E77" w:rsidRPr="005E7DD1">
        <w:rPr>
          <w:rStyle w:val="FootnoteReference"/>
          <w:rFonts w:asciiTheme="minorHAnsi" w:hAnsiTheme="minorHAnsi" w:cstheme="minorHAnsi"/>
          <w:shd w:val="clear" w:color="auto" w:fill="FFFFFF"/>
        </w:rPr>
        <w:footnoteReference w:id="15"/>
      </w:r>
      <w:r w:rsidR="003B6C8F">
        <w:rPr>
          <w:rFonts w:asciiTheme="minorHAnsi" w:hAnsiTheme="minorHAnsi" w:cstheme="minorHAnsi"/>
          <w:shd w:val="clear" w:color="auto" w:fill="FFFFFF"/>
        </w:rPr>
        <w:t xml:space="preserve"> </w:t>
      </w:r>
      <w:r w:rsidR="00A857C4">
        <w:rPr>
          <w:rFonts w:asciiTheme="minorHAnsi" w:hAnsiTheme="minorHAnsi" w:cstheme="minorHAnsi"/>
          <w:shd w:val="clear" w:color="auto" w:fill="FFFFFF"/>
        </w:rPr>
        <w:t xml:space="preserve">Our research found that for California jurisdictions which capped the number of dispensaries, the average was </w:t>
      </w:r>
      <w:r w:rsidR="00A857C4" w:rsidRPr="008C70EE">
        <w:rPr>
          <w:rFonts w:asciiTheme="minorHAnsi" w:hAnsiTheme="minorHAnsi" w:cstheme="minorHAnsi"/>
          <w:shd w:val="clear" w:color="auto" w:fill="FFFFFF"/>
        </w:rPr>
        <w:t>at 1:19,000 inhabitants.</w:t>
      </w:r>
      <w:r w:rsidR="00A857C4">
        <w:rPr>
          <w:rFonts w:asciiTheme="minorHAnsi" w:hAnsiTheme="minorHAnsi" w:cstheme="minorHAnsi"/>
          <w:shd w:val="clear" w:color="auto" w:fill="FFFFFF"/>
        </w:rPr>
        <w:t xml:space="preserve"> </w:t>
      </w:r>
      <w:r w:rsidR="008C70EE">
        <w:rPr>
          <w:rStyle w:val="FootnoteReference"/>
          <w:rFonts w:asciiTheme="minorHAnsi" w:hAnsiTheme="minorHAnsi" w:cstheme="minorHAnsi"/>
          <w:shd w:val="clear" w:color="auto" w:fill="FFFFFF"/>
        </w:rPr>
        <w:footnoteReference w:id="16"/>
      </w:r>
    </w:p>
    <w:p w14:paraId="6BFE357A" w14:textId="16142A6F" w:rsidR="009B5329" w:rsidRPr="0030564E" w:rsidRDefault="002C4495" w:rsidP="00EA7BF8">
      <w:pPr>
        <w:jc w:val="both"/>
        <w:rPr>
          <w:rFonts w:ascii="Helvetica" w:hAnsi="Helvetica"/>
          <w:color w:val="000000"/>
          <w:sz w:val="27"/>
          <w:szCs w:val="27"/>
        </w:rPr>
      </w:pPr>
      <w:r w:rsidRPr="005E7DD1">
        <w:rPr>
          <w:rFonts w:asciiTheme="minorHAnsi" w:hAnsiTheme="minorHAnsi" w:cstheme="minorHAnsi"/>
          <w:color w:val="000000"/>
        </w:rPr>
        <w:t xml:space="preserve">While there is significant data from alcohol and tobacco that higher outlet density results in worse outcomes for vulnerable populations, a balance between </w:t>
      </w:r>
      <w:r w:rsidR="007D5021">
        <w:rPr>
          <w:rFonts w:asciiTheme="minorHAnsi" w:hAnsiTheme="minorHAnsi" w:cstheme="minorHAnsi"/>
          <w:color w:val="000000"/>
        </w:rPr>
        <w:t xml:space="preserve">providing legal </w:t>
      </w:r>
      <w:r w:rsidRPr="005E7DD1">
        <w:rPr>
          <w:rFonts w:asciiTheme="minorHAnsi" w:hAnsiTheme="minorHAnsi" w:cstheme="minorHAnsi"/>
          <w:color w:val="000000"/>
        </w:rPr>
        <w:t>access and protection</w:t>
      </w:r>
      <w:r w:rsidR="00CF17F9">
        <w:rPr>
          <w:rFonts w:asciiTheme="minorHAnsi" w:hAnsiTheme="minorHAnsi" w:cstheme="minorHAnsi"/>
          <w:color w:val="000000"/>
        </w:rPr>
        <w:t xml:space="preserve"> of youth should be sought where commerce is allowed</w:t>
      </w:r>
      <w:r w:rsidRPr="005E7DD1">
        <w:rPr>
          <w:rFonts w:asciiTheme="minorHAnsi" w:hAnsiTheme="minorHAnsi" w:cstheme="minorHAnsi"/>
          <w:color w:val="000000"/>
        </w:rPr>
        <w:t xml:space="preserve">. Based on other state experiences and the Health Impact Assessment of LA County Public Health, we recommend </w:t>
      </w:r>
      <w:r w:rsidR="000D76B3">
        <w:rPr>
          <w:rFonts w:asciiTheme="minorHAnsi" w:hAnsiTheme="minorHAnsi" w:cstheme="minorHAnsi"/>
          <w:color w:val="000000"/>
        </w:rPr>
        <w:t xml:space="preserve">dispensaries not exceed </w:t>
      </w:r>
      <w:r w:rsidRPr="005E7DD1">
        <w:rPr>
          <w:rFonts w:asciiTheme="minorHAnsi" w:hAnsiTheme="minorHAnsi" w:cstheme="minorHAnsi"/>
          <w:color w:val="000000"/>
        </w:rPr>
        <w:t>1:15,000</w:t>
      </w:r>
      <w:r w:rsidR="000D76B3">
        <w:rPr>
          <w:rFonts w:asciiTheme="minorHAnsi" w:hAnsiTheme="minorHAnsi" w:cstheme="minorHAnsi"/>
          <w:color w:val="000000"/>
        </w:rPr>
        <w:t xml:space="preserve"> residents</w:t>
      </w:r>
      <w:r w:rsidRPr="005E7DD1">
        <w:rPr>
          <w:rFonts w:asciiTheme="minorHAnsi" w:hAnsiTheme="minorHAnsi" w:cstheme="minorHAnsi"/>
          <w:color w:val="000000"/>
        </w:rPr>
        <w:t>.</w:t>
      </w:r>
      <w:r w:rsidR="007A6306">
        <w:rPr>
          <w:rFonts w:asciiTheme="minorHAnsi" w:hAnsiTheme="minorHAnsi" w:cstheme="minorHAnsi"/>
          <w:color w:val="000000"/>
        </w:rPr>
        <w:t xml:space="preserve"> </w:t>
      </w:r>
      <w:r w:rsidR="0030564E">
        <w:rPr>
          <w:rFonts w:asciiTheme="minorHAnsi" w:hAnsiTheme="minorHAnsi" w:cstheme="minorHAnsi"/>
          <w:shd w:val="clear" w:color="auto" w:fill="FFFFFF"/>
        </w:rPr>
        <w:t>However, we also recognize that rural areas and smaller cities may have unique needs and or small populations that impact their ability to limit their ratios to 1:15,000. Rural areas, for example, may have populations that are more spaced out making it more reasonable to have two retailers even though that exceeds our 1:15,000 cut off. As such, we created the following scoring method</w:t>
      </w:r>
      <w:r w:rsidR="009B5329">
        <w:rPr>
          <w:rFonts w:asciiTheme="minorHAnsi" w:hAnsiTheme="minorHAnsi" w:cstheme="minorHAnsi"/>
          <w:shd w:val="clear" w:color="auto" w:fill="FFFFFF"/>
        </w:rPr>
        <w:t>.</w:t>
      </w:r>
      <w:r w:rsidR="00F94D7B">
        <w:rPr>
          <w:rFonts w:asciiTheme="minorHAnsi" w:hAnsiTheme="minorHAnsi" w:cstheme="minorHAnsi"/>
          <w:shd w:val="clear" w:color="auto" w:fill="FFFFFF"/>
        </w:rPr>
        <w:t xml:space="preserve"> </w:t>
      </w:r>
      <w:r w:rsidR="009B5329" w:rsidRPr="00CF406B">
        <w:rPr>
          <w:rFonts w:ascii="Calibri" w:hAnsi="Calibri"/>
          <w:color w:val="000000"/>
        </w:rPr>
        <w:t>Scoring is non-linear to give fewer points for greater density, and more points for smaller incremental changes that decrease density.</w:t>
      </w:r>
    </w:p>
    <w:p w14:paraId="794F674D" w14:textId="1E39D978" w:rsidR="0030564E" w:rsidRDefault="009B5329" w:rsidP="002C4495">
      <w:pPr>
        <w:rPr>
          <w:rFonts w:asciiTheme="minorHAnsi" w:hAnsiTheme="minorHAnsi" w:cstheme="minorHAnsi"/>
          <w:shd w:val="clear" w:color="auto" w:fill="FFFFFF"/>
        </w:rPr>
      </w:pPr>
      <w:r w:rsidRPr="0030564E">
        <w:rPr>
          <w:rFonts w:ascii="Calibri" w:hAnsi="Calibri"/>
          <w:color w:val="000000"/>
          <w:sz w:val="22"/>
          <w:szCs w:val="22"/>
        </w:rPr>
        <w:t> </w:t>
      </w:r>
    </w:p>
    <w:p w14:paraId="64EEC6F0" w14:textId="77777777" w:rsidR="0030564E" w:rsidRDefault="0030564E" w:rsidP="002C4495">
      <w:pPr>
        <w:rPr>
          <w:rFonts w:asciiTheme="minorHAnsi" w:hAnsiTheme="minorHAnsi" w:cstheme="minorHAnsi"/>
          <w:shd w:val="clear" w:color="auto" w:fill="FFFFFF"/>
        </w:rPr>
      </w:pPr>
      <w:r>
        <w:rPr>
          <w:rFonts w:asciiTheme="minorHAnsi" w:hAnsiTheme="minorHAnsi" w:cstheme="minorHAnsi"/>
          <w:shd w:val="clear" w:color="auto" w:fill="FFFFFF"/>
        </w:rPr>
        <w:t>For a population &gt; 20,000</w:t>
      </w:r>
    </w:p>
    <w:p w14:paraId="5BEC482C" w14:textId="697A8FB4" w:rsidR="0030564E" w:rsidRDefault="0030564E" w:rsidP="002C4495">
      <w:pPr>
        <w:rPr>
          <w:rFonts w:asciiTheme="minorHAnsi" w:hAnsiTheme="minorHAnsi" w:cstheme="minorHAnsi"/>
          <w:shd w:val="clear" w:color="auto" w:fill="FFFFFF"/>
        </w:rPr>
      </w:pPr>
      <w:r>
        <w:rPr>
          <w:rFonts w:asciiTheme="minorHAnsi" w:hAnsiTheme="minorHAnsi" w:cstheme="minorHAnsi"/>
          <w:shd w:val="clear" w:color="auto" w:fill="FFFFFF"/>
        </w:rPr>
        <w:t>1:5</w:t>
      </w:r>
      <w:r w:rsidR="00CF17F9">
        <w:rPr>
          <w:rFonts w:asciiTheme="minorHAnsi" w:hAnsiTheme="minorHAnsi" w:cstheme="minorHAnsi"/>
          <w:shd w:val="clear" w:color="auto" w:fill="FFFFFF"/>
        </w:rPr>
        <w:t>,000</w:t>
      </w:r>
      <w:r>
        <w:rPr>
          <w:rFonts w:asciiTheme="minorHAnsi" w:hAnsiTheme="minorHAnsi" w:cstheme="minorHAnsi"/>
          <w:shd w:val="clear" w:color="auto" w:fill="FFFFFF"/>
        </w:rPr>
        <w:t xml:space="preserve"> to 1:7</w:t>
      </w:r>
      <w:r w:rsidR="00CF17F9">
        <w:rPr>
          <w:rFonts w:asciiTheme="minorHAnsi" w:hAnsiTheme="minorHAnsi" w:cstheme="minorHAnsi"/>
          <w:shd w:val="clear" w:color="auto" w:fill="FFFFFF"/>
        </w:rPr>
        <w:t>, 499 inhabitants</w:t>
      </w:r>
      <w:r w:rsidR="003B6C8F">
        <w:rPr>
          <w:rFonts w:asciiTheme="minorHAnsi" w:hAnsiTheme="minorHAnsi" w:cstheme="minorHAnsi"/>
          <w:shd w:val="clear" w:color="auto" w:fill="FFFFFF"/>
        </w:rPr>
        <w:t xml:space="preserve"> </w:t>
      </w:r>
      <w:r>
        <w:rPr>
          <w:rFonts w:asciiTheme="minorHAnsi" w:hAnsiTheme="minorHAnsi" w:cstheme="minorHAnsi"/>
          <w:shd w:val="clear" w:color="auto" w:fill="FFFFFF"/>
        </w:rPr>
        <w:t>= 1 point</w:t>
      </w:r>
    </w:p>
    <w:p w14:paraId="5DA2330E" w14:textId="643BAE10" w:rsidR="0030564E" w:rsidRDefault="0030564E" w:rsidP="002C4495">
      <w:pPr>
        <w:rPr>
          <w:rFonts w:asciiTheme="minorHAnsi" w:hAnsiTheme="minorHAnsi" w:cstheme="minorHAnsi"/>
          <w:shd w:val="clear" w:color="auto" w:fill="FFFFFF"/>
        </w:rPr>
      </w:pPr>
      <w:r>
        <w:rPr>
          <w:rFonts w:asciiTheme="minorHAnsi" w:hAnsiTheme="minorHAnsi" w:cstheme="minorHAnsi"/>
          <w:shd w:val="clear" w:color="auto" w:fill="FFFFFF"/>
        </w:rPr>
        <w:t>1:7</w:t>
      </w:r>
      <w:r w:rsidR="00CF17F9">
        <w:rPr>
          <w:rFonts w:asciiTheme="minorHAnsi" w:hAnsiTheme="minorHAnsi" w:cstheme="minorHAnsi"/>
          <w:shd w:val="clear" w:color="auto" w:fill="FFFFFF"/>
        </w:rPr>
        <w:t>,500</w:t>
      </w:r>
      <w:r>
        <w:rPr>
          <w:rFonts w:asciiTheme="minorHAnsi" w:hAnsiTheme="minorHAnsi" w:cstheme="minorHAnsi"/>
          <w:shd w:val="clear" w:color="auto" w:fill="FFFFFF"/>
        </w:rPr>
        <w:t xml:space="preserve"> to 1:9</w:t>
      </w:r>
      <w:r w:rsidR="00CF17F9">
        <w:rPr>
          <w:rFonts w:asciiTheme="minorHAnsi" w:hAnsiTheme="minorHAnsi" w:cstheme="minorHAnsi"/>
          <w:shd w:val="clear" w:color="auto" w:fill="FFFFFF"/>
        </w:rPr>
        <w:t>,999 inhabitants</w:t>
      </w:r>
      <w:r w:rsidR="003B6C8F">
        <w:rPr>
          <w:rFonts w:asciiTheme="minorHAnsi" w:hAnsiTheme="minorHAnsi" w:cstheme="minorHAnsi"/>
          <w:shd w:val="clear" w:color="auto" w:fill="FFFFFF"/>
        </w:rPr>
        <w:t xml:space="preserve"> </w:t>
      </w:r>
      <w:r>
        <w:rPr>
          <w:rFonts w:asciiTheme="minorHAnsi" w:hAnsiTheme="minorHAnsi" w:cstheme="minorHAnsi"/>
          <w:shd w:val="clear" w:color="auto" w:fill="FFFFFF"/>
        </w:rPr>
        <w:t>= 2 points</w:t>
      </w:r>
    </w:p>
    <w:p w14:paraId="42918685" w14:textId="484FAE59" w:rsidR="0030564E" w:rsidRDefault="0030564E" w:rsidP="002C4495">
      <w:pPr>
        <w:rPr>
          <w:rFonts w:asciiTheme="minorHAnsi" w:hAnsiTheme="minorHAnsi" w:cstheme="minorHAnsi"/>
          <w:shd w:val="clear" w:color="auto" w:fill="FFFFFF"/>
        </w:rPr>
      </w:pPr>
      <w:r>
        <w:rPr>
          <w:rFonts w:asciiTheme="minorHAnsi" w:hAnsiTheme="minorHAnsi" w:cstheme="minorHAnsi"/>
          <w:shd w:val="clear" w:color="auto" w:fill="FFFFFF"/>
        </w:rPr>
        <w:t>1.10</w:t>
      </w:r>
      <w:r w:rsidR="00CF17F9">
        <w:rPr>
          <w:rFonts w:asciiTheme="minorHAnsi" w:hAnsiTheme="minorHAnsi" w:cstheme="minorHAnsi"/>
          <w:shd w:val="clear" w:color="auto" w:fill="FFFFFF"/>
        </w:rPr>
        <w:t>,000</w:t>
      </w:r>
      <w:r>
        <w:rPr>
          <w:rFonts w:asciiTheme="minorHAnsi" w:hAnsiTheme="minorHAnsi" w:cstheme="minorHAnsi"/>
          <w:shd w:val="clear" w:color="auto" w:fill="FFFFFF"/>
        </w:rPr>
        <w:t xml:space="preserve"> to 1:12</w:t>
      </w:r>
      <w:r w:rsidR="00CF17F9">
        <w:rPr>
          <w:rFonts w:asciiTheme="minorHAnsi" w:hAnsiTheme="minorHAnsi" w:cstheme="minorHAnsi"/>
          <w:shd w:val="clear" w:color="auto" w:fill="FFFFFF"/>
        </w:rPr>
        <w:t>,</w:t>
      </w:r>
      <w:r>
        <w:rPr>
          <w:rFonts w:asciiTheme="minorHAnsi" w:hAnsiTheme="minorHAnsi" w:cstheme="minorHAnsi"/>
          <w:shd w:val="clear" w:color="auto" w:fill="FFFFFF"/>
        </w:rPr>
        <w:t>49</w:t>
      </w:r>
      <w:r w:rsidR="00CF17F9">
        <w:rPr>
          <w:rFonts w:asciiTheme="minorHAnsi" w:hAnsiTheme="minorHAnsi" w:cstheme="minorHAnsi"/>
          <w:shd w:val="clear" w:color="auto" w:fill="FFFFFF"/>
        </w:rPr>
        <w:t>99 inhabitants</w:t>
      </w:r>
      <w:r w:rsidR="003B6C8F">
        <w:rPr>
          <w:rFonts w:asciiTheme="minorHAnsi" w:hAnsiTheme="minorHAnsi" w:cstheme="minorHAnsi"/>
          <w:shd w:val="clear" w:color="auto" w:fill="FFFFFF"/>
        </w:rPr>
        <w:t xml:space="preserve"> </w:t>
      </w:r>
      <w:r>
        <w:rPr>
          <w:rFonts w:asciiTheme="minorHAnsi" w:hAnsiTheme="minorHAnsi" w:cstheme="minorHAnsi"/>
          <w:shd w:val="clear" w:color="auto" w:fill="FFFFFF"/>
        </w:rPr>
        <w:t>= 3 points</w:t>
      </w:r>
    </w:p>
    <w:p w14:paraId="0C3A0CAC" w14:textId="7EE2BBA7" w:rsidR="0030564E" w:rsidRDefault="0030564E" w:rsidP="002C4495">
      <w:pPr>
        <w:rPr>
          <w:rFonts w:asciiTheme="minorHAnsi" w:hAnsiTheme="minorHAnsi" w:cstheme="minorHAnsi"/>
          <w:shd w:val="clear" w:color="auto" w:fill="FFFFFF"/>
        </w:rPr>
      </w:pPr>
      <w:r>
        <w:rPr>
          <w:rFonts w:asciiTheme="minorHAnsi" w:hAnsiTheme="minorHAnsi" w:cstheme="minorHAnsi"/>
          <w:shd w:val="clear" w:color="auto" w:fill="FFFFFF"/>
        </w:rPr>
        <w:t>1:12</w:t>
      </w:r>
      <w:r w:rsidR="00CF17F9">
        <w:rPr>
          <w:rFonts w:asciiTheme="minorHAnsi" w:hAnsiTheme="minorHAnsi" w:cstheme="minorHAnsi"/>
          <w:shd w:val="clear" w:color="auto" w:fill="FFFFFF"/>
        </w:rPr>
        <w:t>,500</w:t>
      </w:r>
      <w:r w:rsidR="003B6C8F">
        <w:rPr>
          <w:rFonts w:asciiTheme="minorHAnsi" w:hAnsiTheme="minorHAnsi" w:cstheme="minorHAnsi"/>
          <w:shd w:val="clear" w:color="auto" w:fill="FFFFFF"/>
        </w:rPr>
        <w:t xml:space="preserve"> </w:t>
      </w:r>
      <w:r>
        <w:rPr>
          <w:rFonts w:asciiTheme="minorHAnsi" w:hAnsiTheme="minorHAnsi" w:cstheme="minorHAnsi"/>
          <w:shd w:val="clear" w:color="auto" w:fill="FFFFFF"/>
        </w:rPr>
        <w:t>to 1:14</w:t>
      </w:r>
      <w:r w:rsidR="00CF17F9">
        <w:rPr>
          <w:rFonts w:asciiTheme="minorHAnsi" w:hAnsiTheme="minorHAnsi" w:cstheme="minorHAnsi"/>
          <w:shd w:val="clear" w:color="auto" w:fill="FFFFFF"/>
        </w:rPr>
        <w:t>,</w:t>
      </w:r>
      <w:r>
        <w:rPr>
          <w:rFonts w:asciiTheme="minorHAnsi" w:hAnsiTheme="minorHAnsi" w:cstheme="minorHAnsi"/>
          <w:shd w:val="clear" w:color="auto" w:fill="FFFFFF"/>
        </w:rPr>
        <w:t>9</w:t>
      </w:r>
      <w:r w:rsidR="00CF17F9">
        <w:rPr>
          <w:rFonts w:asciiTheme="minorHAnsi" w:hAnsiTheme="minorHAnsi" w:cstheme="minorHAnsi"/>
          <w:shd w:val="clear" w:color="auto" w:fill="FFFFFF"/>
        </w:rPr>
        <w:t>99</w:t>
      </w:r>
      <w:r w:rsidR="003B6C8F">
        <w:rPr>
          <w:rFonts w:asciiTheme="minorHAnsi" w:hAnsiTheme="minorHAnsi" w:cstheme="minorHAnsi"/>
          <w:shd w:val="clear" w:color="auto" w:fill="FFFFFF"/>
        </w:rPr>
        <w:t xml:space="preserve"> </w:t>
      </w:r>
      <w:r w:rsidR="00CF17F9">
        <w:rPr>
          <w:rFonts w:asciiTheme="minorHAnsi" w:hAnsiTheme="minorHAnsi" w:cstheme="minorHAnsi"/>
          <w:shd w:val="clear" w:color="auto" w:fill="FFFFFF"/>
        </w:rPr>
        <w:t>inhabitants</w:t>
      </w:r>
      <w:r>
        <w:rPr>
          <w:rFonts w:asciiTheme="minorHAnsi" w:hAnsiTheme="minorHAnsi" w:cstheme="minorHAnsi"/>
          <w:shd w:val="clear" w:color="auto" w:fill="FFFFFF"/>
        </w:rPr>
        <w:t>= 4 point</w:t>
      </w:r>
    </w:p>
    <w:p w14:paraId="52B86DC4" w14:textId="27E1C7B8" w:rsidR="0030564E" w:rsidRDefault="0030564E" w:rsidP="002C4495">
      <w:pPr>
        <w:rPr>
          <w:rFonts w:asciiTheme="minorHAnsi" w:hAnsiTheme="minorHAnsi" w:cstheme="minorHAnsi"/>
          <w:shd w:val="clear" w:color="auto" w:fill="FFFFFF"/>
        </w:rPr>
      </w:pPr>
      <w:r>
        <w:rPr>
          <w:rFonts w:asciiTheme="minorHAnsi" w:hAnsiTheme="minorHAnsi" w:cstheme="minorHAnsi"/>
          <w:shd w:val="clear" w:color="auto" w:fill="FFFFFF"/>
        </w:rPr>
        <w:t>1:15</w:t>
      </w:r>
      <w:r w:rsidR="00CF17F9">
        <w:rPr>
          <w:rFonts w:asciiTheme="minorHAnsi" w:hAnsiTheme="minorHAnsi" w:cstheme="minorHAnsi"/>
          <w:shd w:val="clear" w:color="auto" w:fill="FFFFFF"/>
        </w:rPr>
        <w:t>,000</w:t>
      </w:r>
      <w:r>
        <w:rPr>
          <w:rFonts w:asciiTheme="minorHAnsi" w:hAnsiTheme="minorHAnsi" w:cstheme="minorHAnsi"/>
          <w:shd w:val="clear" w:color="auto" w:fill="FFFFFF"/>
        </w:rPr>
        <w:t xml:space="preserve"> to 1:15</w:t>
      </w:r>
      <w:r w:rsidR="00CF17F9">
        <w:rPr>
          <w:rFonts w:asciiTheme="minorHAnsi" w:hAnsiTheme="minorHAnsi" w:cstheme="minorHAnsi"/>
          <w:shd w:val="clear" w:color="auto" w:fill="FFFFFF"/>
        </w:rPr>
        <w:t>,999 inhabitants</w:t>
      </w:r>
      <w:r w:rsidR="003B6C8F">
        <w:rPr>
          <w:rFonts w:asciiTheme="minorHAnsi" w:hAnsiTheme="minorHAnsi" w:cstheme="minorHAnsi"/>
          <w:shd w:val="clear" w:color="auto" w:fill="FFFFFF"/>
        </w:rPr>
        <w:t xml:space="preserve"> </w:t>
      </w:r>
      <w:r>
        <w:rPr>
          <w:rFonts w:asciiTheme="minorHAnsi" w:hAnsiTheme="minorHAnsi" w:cstheme="minorHAnsi"/>
          <w:shd w:val="clear" w:color="auto" w:fill="FFFFFF"/>
        </w:rPr>
        <w:t>= 5 points</w:t>
      </w:r>
    </w:p>
    <w:p w14:paraId="2DC9EA84" w14:textId="71F4A768" w:rsidR="0030564E" w:rsidRDefault="0030564E" w:rsidP="002C4495">
      <w:pPr>
        <w:rPr>
          <w:rFonts w:asciiTheme="minorHAnsi" w:hAnsiTheme="minorHAnsi" w:cstheme="minorHAnsi"/>
          <w:shd w:val="clear" w:color="auto" w:fill="FFFFFF"/>
        </w:rPr>
      </w:pPr>
      <w:r>
        <w:rPr>
          <w:rFonts w:asciiTheme="minorHAnsi" w:hAnsiTheme="minorHAnsi" w:cstheme="minorHAnsi"/>
          <w:shd w:val="clear" w:color="auto" w:fill="FFFFFF"/>
        </w:rPr>
        <w:t>1:16</w:t>
      </w:r>
      <w:r w:rsidR="00CF17F9">
        <w:rPr>
          <w:rFonts w:asciiTheme="minorHAnsi" w:hAnsiTheme="minorHAnsi" w:cstheme="minorHAnsi"/>
          <w:shd w:val="clear" w:color="auto" w:fill="FFFFFF"/>
        </w:rPr>
        <w:t>,000</w:t>
      </w:r>
      <w:r>
        <w:rPr>
          <w:rFonts w:asciiTheme="minorHAnsi" w:hAnsiTheme="minorHAnsi" w:cstheme="minorHAnsi"/>
          <w:shd w:val="clear" w:color="auto" w:fill="FFFFFF"/>
        </w:rPr>
        <w:t xml:space="preserve"> to 1:16</w:t>
      </w:r>
      <w:r w:rsidR="00CF17F9">
        <w:rPr>
          <w:rFonts w:asciiTheme="minorHAnsi" w:hAnsiTheme="minorHAnsi" w:cstheme="minorHAnsi"/>
          <w:shd w:val="clear" w:color="auto" w:fill="FFFFFF"/>
        </w:rPr>
        <w:t>,999 inhabitants</w:t>
      </w:r>
      <w:r w:rsidR="003B6C8F">
        <w:rPr>
          <w:rFonts w:asciiTheme="minorHAnsi" w:hAnsiTheme="minorHAnsi" w:cstheme="minorHAnsi"/>
          <w:shd w:val="clear" w:color="auto" w:fill="FFFFFF"/>
        </w:rPr>
        <w:t xml:space="preserve"> </w:t>
      </w:r>
      <w:r>
        <w:rPr>
          <w:rFonts w:asciiTheme="minorHAnsi" w:hAnsiTheme="minorHAnsi" w:cstheme="minorHAnsi"/>
          <w:shd w:val="clear" w:color="auto" w:fill="FFFFFF"/>
        </w:rPr>
        <w:t>= 6 points</w:t>
      </w:r>
    </w:p>
    <w:p w14:paraId="5DDC97D0" w14:textId="6ABBCB7E" w:rsidR="0030564E" w:rsidRDefault="0030564E" w:rsidP="002C4495">
      <w:pPr>
        <w:rPr>
          <w:rFonts w:asciiTheme="minorHAnsi" w:hAnsiTheme="minorHAnsi" w:cstheme="minorHAnsi"/>
          <w:shd w:val="clear" w:color="auto" w:fill="FFFFFF"/>
        </w:rPr>
      </w:pPr>
      <w:r>
        <w:rPr>
          <w:rFonts w:asciiTheme="minorHAnsi" w:hAnsiTheme="minorHAnsi" w:cstheme="minorHAnsi"/>
          <w:shd w:val="clear" w:color="auto" w:fill="FFFFFF"/>
        </w:rPr>
        <w:t>1:17</w:t>
      </w:r>
      <w:r w:rsidR="00CF17F9">
        <w:rPr>
          <w:rFonts w:asciiTheme="minorHAnsi" w:hAnsiTheme="minorHAnsi" w:cstheme="minorHAnsi"/>
          <w:shd w:val="clear" w:color="auto" w:fill="FFFFFF"/>
        </w:rPr>
        <w:t>,000</w:t>
      </w:r>
      <w:r>
        <w:rPr>
          <w:rFonts w:asciiTheme="minorHAnsi" w:hAnsiTheme="minorHAnsi" w:cstheme="minorHAnsi"/>
          <w:shd w:val="clear" w:color="auto" w:fill="FFFFFF"/>
        </w:rPr>
        <w:t xml:space="preserve"> to 1:17</w:t>
      </w:r>
      <w:r w:rsidR="00CF17F9">
        <w:rPr>
          <w:rFonts w:asciiTheme="minorHAnsi" w:hAnsiTheme="minorHAnsi" w:cstheme="minorHAnsi"/>
          <w:shd w:val="clear" w:color="auto" w:fill="FFFFFF"/>
        </w:rPr>
        <w:t xml:space="preserve">,999 inhabitants </w:t>
      </w:r>
      <w:r>
        <w:rPr>
          <w:rFonts w:asciiTheme="minorHAnsi" w:hAnsiTheme="minorHAnsi" w:cstheme="minorHAnsi"/>
          <w:shd w:val="clear" w:color="auto" w:fill="FFFFFF"/>
        </w:rPr>
        <w:t>= 7 points</w:t>
      </w:r>
    </w:p>
    <w:p w14:paraId="573F22B2" w14:textId="417A7E95" w:rsidR="0030564E" w:rsidRDefault="0030564E" w:rsidP="002C4495">
      <w:pPr>
        <w:rPr>
          <w:rFonts w:ascii="Calibri" w:hAnsi="Calibri"/>
          <w:color w:val="000000"/>
          <w:sz w:val="22"/>
          <w:szCs w:val="22"/>
        </w:rPr>
      </w:pPr>
      <w:r w:rsidRPr="0030564E">
        <w:rPr>
          <w:rFonts w:ascii="Calibri" w:hAnsi="Calibri"/>
          <w:color w:val="000000"/>
          <w:sz w:val="22"/>
          <w:szCs w:val="22"/>
        </w:rPr>
        <w:lastRenderedPageBreak/>
        <w:t>1:1</w:t>
      </w:r>
      <w:r>
        <w:rPr>
          <w:rFonts w:ascii="Calibri" w:hAnsi="Calibri"/>
          <w:color w:val="000000"/>
          <w:sz w:val="22"/>
          <w:szCs w:val="22"/>
        </w:rPr>
        <w:t>8</w:t>
      </w:r>
      <w:r w:rsidR="00CF17F9">
        <w:rPr>
          <w:rFonts w:ascii="Calibri" w:hAnsi="Calibri"/>
          <w:color w:val="000000"/>
          <w:sz w:val="22"/>
          <w:szCs w:val="22"/>
        </w:rPr>
        <w:t>,000</w:t>
      </w:r>
      <w:r>
        <w:rPr>
          <w:rFonts w:ascii="Calibri" w:hAnsi="Calibri"/>
          <w:color w:val="000000"/>
          <w:sz w:val="22"/>
          <w:szCs w:val="22"/>
        </w:rPr>
        <w:t xml:space="preserve"> to 1:18</w:t>
      </w:r>
      <w:r w:rsidR="00CF17F9">
        <w:rPr>
          <w:rFonts w:ascii="Calibri" w:hAnsi="Calibri"/>
          <w:color w:val="000000"/>
          <w:sz w:val="22"/>
          <w:szCs w:val="22"/>
        </w:rPr>
        <w:t xml:space="preserve">,999 inhabitants </w:t>
      </w:r>
      <w:r>
        <w:rPr>
          <w:rFonts w:ascii="Calibri" w:hAnsi="Calibri"/>
          <w:color w:val="000000"/>
          <w:sz w:val="22"/>
          <w:szCs w:val="22"/>
        </w:rPr>
        <w:t>= 8 points</w:t>
      </w:r>
    </w:p>
    <w:p w14:paraId="7BF5A99A" w14:textId="135703DB" w:rsidR="0030564E" w:rsidRDefault="0030564E" w:rsidP="002C4495">
      <w:pPr>
        <w:rPr>
          <w:rFonts w:asciiTheme="minorHAnsi" w:hAnsiTheme="minorHAnsi" w:cstheme="minorHAnsi"/>
          <w:shd w:val="clear" w:color="auto" w:fill="FFFFFF"/>
        </w:rPr>
      </w:pPr>
      <w:r>
        <w:rPr>
          <w:rFonts w:asciiTheme="minorHAnsi" w:hAnsiTheme="minorHAnsi" w:cstheme="minorHAnsi"/>
          <w:shd w:val="clear" w:color="auto" w:fill="FFFFFF"/>
        </w:rPr>
        <w:t>1:19</w:t>
      </w:r>
      <w:r w:rsidR="00CF17F9">
        <w:rPr>
          <w:rFonts w:asciiTheme="minorHAnsi" w:hAnsiTheme="minorHAnsi" w:cstheme="minorHAnsi"/>
          <w:shd w:val="clear" w:color="auto" w:fill="FFFFFF"/>
        </w:rPr>
        <w:t>,000</w:t>
      </w:r>
      <w:r>
        <w:rPr>
          <w:rFonts w:asciiTheme="minorHAnsi" w:hAnsiTheme="minorHAnsi" w:cstheme="minorHAnsi"/>
          <w:shd w:val="clear" w:color="auto" w:fill="FFFFFF"/>
        </w:rPr>
        <w:t xml:space="preserve"> to 1:19</w:t>
      </w:r>
      <w:r w:rsidR="00CF17F9">
        <w:rPr>
          <w:rFonts w:asciiTheme="minorHAnsi" w:hAnsiTheme="minorHAnsi" w:cstheme="minorHAnsi"/>
          <w:shd w:val="clear" w:color="auto" w:fill="FFFFFF"/>
        </w:rPr>
        <w:t xml:space="preserve">,000 inhabitants </w:t>
      </w:r>
      <w:r>
        <w:rPr>
          <w:rFonts w:asciiTheme="minorHAnsi" w:hAnsiTheme="minorHAnsi" w:cstheme="minorHAnsi"/>
          <w:shd w:val="clear" w:color="auto" w:fill="FFFFFF"/>
        </w:rPr>
        <w:t>= 9 points</w:t>
      </w:r>
    </w:p>
    <w:p w14:paraId="298B3065" w14:textId="63D2B831" w:rsidR="0030564E" w:rsidRDefault="0030564E" w:rsidP="002C4495">
      <w:pPr>
        <w:rPr>
          <w:rFonts w:asciiTheme="minorHAnsi" w:hAnsiTheme="minorHAnsi" w:cstheme="minorHAnsi"/>
          <w:shd w:val="clear" w:color="auto" w:fill="FFFFFF"/>
        </w:rPr>
      </w:pPr>
      <w:r>
        <w:rPr>
          <w:rFonts w:asciiTheme="minorHAnsi" w:hAnsiTheme="minorHAnsi" w:cstheme="minorHAnsi"/>
          <w:shd w:val="clear" w:color="auto" w:fill="FFFFFF"/>
        </w:rPr>
        <w:t>1:20</w:t>
      </w:r>
      <w:r w:rsidR="00CF17F9">
        <w:rPr>
          <w:rFonts w:asciiTheme="minorHAnsi" w:hAnsiTheme="minorHAnsi" w:cstheme="minorHAnsi"/>
          <w:shd w:val="clear" w:color="auto" w:fill="FFFFFF"/>
        </w:rPr>
        <w:t>,000</w:t>
      </w:r>
      <w:r>
        <w:rPr>
          <w:rFonts w:asciiTheme="minorHAnsi" w:hAnsiTheme="minorHAnsi" w:cstheme="minorHAnsi"/>
          <w:shd w:val="clear" w:color="auto" w:fill="FFFFFF"/>
        </w:rPr>
        <w:t xml:space="preserve"> or greater</w:t>
      </w:r>
      <w:r w:rsidR="00CF17F9">
        <w:rPr>
          <w:rFonts w:asciiTheme="minorHAnsi" w:hAnsiTheme="minorHAnsi" w:cstheme="minorHAnsi"/>
          <w:shd w:val="clear" w:color="auto" w:fill="FFFFFF"/>
        </w:rPr>
        <w:t xml:space="preserve"> inhabitants</w:t>
      </w:r>
      <w:r w:rsidR="003B6C8F">
        <w:rPr>
          <w:rFonts w:asciiTheme="minorHAnsi" w:hAnsiTheme="minorHAnsi" w:cstheme="minorHAnsi"/>
          <w:shd w:val="clear" w:color="auto" w:fill="FFFFFF"/>
        </w:rPr>
        <w:t xml:space="preserve"> </w:t>
      </w:r>
      <w:r>
        <w:rPr>
          <w:rFonts w:asciiTheme="minorHAnsi" w:hAnsiTheme="minorHAnsi" w:cstheme="minorHAnsi"/>
          <w:shd w:val="clear" w:color="auto" w:fill="FFFFFF"/>
        </w:rPr>
        <w:t>= 10 points</w:t>
      </w:r>
    </w:p>
    <w:p w14:paraId="3B341EA9" w14:textId="611764E7" w:rsidR="0030564E" w:rsidRDefault="0030564E" w:rsidP="002C4495">
      <w:pPr>
        <w:rPr>
          <w:rFonts w:asciiTheme="minorHAnsi" w:hAnsiTheme="minorHAnsi" w:cstheme="minorHAnsi"/>
          <w:shd w:val="clear" w:color="auto" w:fill="FFFFFF"/>
        </w:rPr>
      </w:pPr>
    </w:p>
    <w:p w14:paraId="274B94B9" w14:textId="4E146206" w:rsidR="0030564E" w:rsidRDefault="0030564E" w:rsidP="0030564E">
      <w:pPr>
        <w:rPr>
          <w:rFonts w:asciiTheme="minorHAnsi" w:hAnsiTheme="minorHAnsi" w:cstheme="minorHAnsi"/>
          <w:shd w:val="clear" w:color="auto" w:fill="FFFFFF"/>
        </w:rPr>
      </w:pPr>
      <w:r>
        <w:rPr>
          <w:rFonts w:asciiTheme="minorHAnsi" w:hAnsiTheme="minorHAnsi" w:cstheme="minorHAnsi"/>
          <w:shd w:val="clear" w:color="auto" w:fill="FFFFFF"/>
        </w:rPr>
        <w:t>For a population 10,000 to 20,000</w:t>
      </w:r>
    </w:p>
    <w:p w14:paraId="199540F2" w14:textId="5F4559C3" w:rsidR="0030564E" w:rsidRDefault="0030564E" w:rsidP="0030564E">
      <w:pPr>
        <w:rPr>
          <w:rFonts w:asciiTheme="minorHAnsi" w:hAnsiTheme="minorHAnsi" w:cstheme="minorHAnsi"/>
          <w:shd w:val="clear" w:color="auto" w:fill="FFFFFF"/>
        </w:rPr>
      </w:pPr>
      <w:r>
        <w:rPr>
          <w:rFonts w:asciiTheme="minorHAnsi" w:hAnsiTheme="minorHAnsi" w:cstheme="minorHAnsi"/>
          <w:shd w:val="clear" w:color="auto" w:fill="FFFFFF"/>
        </w:rPr>
        <w:t>1:5</w:t>
      </w:r>
      <w:r w:rsidR="00CF17F9">
        <w:rPr>
          <w:rFonts w:asciiTheme="minorHAnsi" w:hAnsiTheme="minorHAnsi" w:cstheme="minorHAnsi"/>
          <w:shd w:val="clear" w:color="auto" w:fill="FFFFFF"/>
        </w:rPr>
        <w:t>,000</w:t>
      </w:r>
      <w:r>
        <w:rPr>
          <w:rFonts w:asciiTheme="minorHAnsi" w:hAnsiTheme="minorHAnsi" w:cstheme="minorHAnsi"/>
          <w:shd w:val="clear" w:color="auto" w:fill="FFFFFF"/>
        </w:rPr>
        <w:t xml:space="preserve"> to 1:7</w:t>
      </w:r>
      <w:r w:rsidR="00CF17F9">
        <w:rPr>
          <w:rFonts w:asciiTheme="minorHAnsi" w:hAnsiTheme="minorHAnsi" w:cstheme="minorHAnsi"/>
          <w:shd w:val="clear" w:color="auto" w:fill="FFFFFF"/>
        </w:rPr>
        <w:t xml:space="preserve">,499 inhabitants </w:t>
      </w:r>
      <w:r>
        <w:rPr>
          <w:rFonts w:asciiTheme="minorHAnsi" w:hAnsiTheme="minorHAnsi" w:cstheme="minorHAnsi"/>
          <w:shd w:val="clear" w:color="auto" w:fill="FFFFFF"/>
        </w:rPr>
        <w:t>= 1 point</w:t>
      </w:r>
    </w:p>
    <w:p w14:paraId="0DE93F30" w14:textId="302E0687" w:rsidR="0030564E" w:rsidRDefault="0030564E" w:rsidP="0030564E">
      <w:pPr>
        <w:rPr>
          <w:rFonts w:asciiTheme="minorHAnsi" w:hAnsiTheme="minorHAnsi" w:cstheme="minorHAnsi"/>
          <w:shd w:val="clear" w:color="auto" w:fill="FFFFFF"/>
        </w:rPr>
      </w:pPr>
      <w:r>
        <w:rPr>
          <w:rFonts w:asciiTheme="minorHAnsi" w:hAnsiTheme="minorHAnsi" w:cstheme="minorHAnsi"/>
          <w:shd w:val="clear" w:color="auto" w:fill="FFFFFF"/>
        </w:rPr>
        <w:t>1:7</w:t>
      </w:r>
      <w:r w:rsidR="00CF17F9">
        <w:rPr>
          <w:rFonts w:asciiTheme="minorHAnsi" w:hAnsiTheme="minorHAnsi" w:cstheme="minorHAnsi"/>
          <w:shd w:val="clear" w:color="auto" w:fill="FFFFFF"/>
        </w:rPr>
        <w:t>,500</w:t>
      </w:r>
      <w:r>
        <w:rPr>
          <w:rFonts w:asciiTheme="minorHAnsi" w:hAnsiTheme="minorHAnsi" w:cstheme="minorHAnsi"/>
          <w:shd w:val="clear" w:color="auto" w:fill="FFFFFF"/>
        </w:rPr>
        <w:t xml:space="preserve"> to 1:9</w:t>
      </w:r>
      <w:r w:rsidR="00CF17F9">
        <w:rPr>
          <w:rFonts w:asciiTheme="minorHAnsi" w:hAnsiTheme="minorHAnsi" w:cstheme="minorHAnsi"/>
          <w:shd w:val="clear" w:color="auto" w:fill="FFFFFF"/>
        </w:rPr>
        <w:t>,999</w:t>
      </w:r>
      <w:r>
        <w:rPr>
          <w:rFonts w:asciiTheme="minorHAnsi" w:hAnsiTheme="minorHAnsi" w:cstheme="minorHAnsi"/>
          <w:shd w:val="clear" w:color="auto" w:fill="FFFFFF"/>
        </w:rPr>
        <w:t xml:space="preserve"> = 2 points</w:t>
      </w:r>
    </w:p>
    <w:p w14:paraId="3CFB51A7" w14:textId="32EE8326" w:rsidR="0030564E" w:rsidRDefault="0030564E" w:rsidP="0030564E">
      <w:pPr>
        <w:rPr>
          <w:rFonts w:asciiTheme="minorHAnsi" w:hAnsiTheme="minorHAnsi" w:cstheme="minorHAnsi"/>
          <w:shd w:val="clear" w:color="auto" w:fill="FFFFFF"/>
        </w:rPr>
      </w:pPr>
      <w:r>
        <w:rPr>
          <w:rFonts w:asciiTheme="minorHAnsi" w:hAnsiTheme="minorHAnsi" w:cstheme="minorHAnsi"/>
          <w:shd w:val="clear" w:color="auto" w:fill="FFFFFF"/>
        </w:rPr>
        <w:t>1 dispensary = 10 points</w:t>
      </w:r>
    </w:p>
    <w:p w14:paraId="5986E6A8" w14:textId="3502FCF4" w:rsidR="0030564E" w:rsidRDefault="0030564E" w:rsidP="002C4495">
      <w:pPr>
        <w:rPr>
          <w:rFonts w:asciiTheme="minorHAnsi" w:hAnsiTheme="minorHAnsi" w:cstheme="minorHAnsi"/>
          <w:shd w:val="clear" w:color="auto" w:fill="FFFFFF"/>
        </w:rPr>
      </w:pPr>
    </w:p>
    <w:p w14:paraId="24E2D005" w14:textId="3F4852DC" w:rsidR="009B5329" w:rsidRDefault="009B5329" w:rsidP="009B5329">
      <w:pPr>
        <w:rPr>
          <w:rFonts w:asciiTheme="minorHAnsi" w:hAnsiTheme="minorHAnsi" w:cstheme="minorHAnsi"/>
          <w:shd w:val="clear" w:color="auto" w:fill="FFFFFF"/>
        </w:rPr>
      </w:pPr>
      <w:r>
        <w:rPr>
          <w:rFonts w:asciiTheme="minorHAnsi" w:hAnsiTheme="minorHAnsi" w:cstheme="minorHAnsi"/>
          <w:shd w:val="clear" w:color="auto" w:fill="FFFFFF"/>
        </w:rPr>
        <w:t>For a population &lt;10,000</w:t>
      </w:r>
    </w:p>
    <w:p w14:paraId="026545F9" w14:textId="61F4E961" w:rsidR="009B5329" w:rsidRDefault="009B5329" w:rsidP="009B5329">
      <w:pPr>
        <w:rPr>
          <w:rFonts w:asciiTheme="minorHAnsi" w:hAnsiTheme="minorHAnsi" w:cstheme="minorHAnsi"/>
          <w:shd w:val="clear" w:color="auto" w:fill="FFFFFF"/>
        </w:rPr>
      </w:pPr>
      <w:r>
        <w:rPr>
          <w:rFonts w:asciiTheme="minorHAnsi" w:hAnsiTheme="minorHAnsi" w:cstheme="minorHAnsi"/>
          <w:shd w:val="clear" w:color="auto" w:fill="FFFFFF"/>
        </w:rPr>
        <w:t>3 or more dispensaries = 0 points</w:t>
      </w:r>
    </w:p>
    <w:p w14:paraId="2C530C6F" w14:textId="5E371674" w:rsidR="009B5329" w:rsidRDefault="009B5329" w:rsidP="009B5329">
      <w:pPr>
        <w:rPr>
          <w:rFonts w:asciiTheme="minorHAnsi" w:hAnsiTheme="minorHAnsi" w:cstheme="minorHAnsi"/>
          <w:shd w:val="clear" w:color="auto" w:fill="FFFFFF"/>
        </w:rPr>
      </w:pPr>
      <w:r>
        <w:rPr>
          <w:rFonts w:asciiTheme="minorHAnsi" w:hAnsiTheme="minorHAnsi" w:cstheme="minorHAnsi"/>
          <w:shd w:val="clear" w:color="auto" w:fill="FFFFFF"/>
        </w:rPr>
        <w:t>2 dispensaries = 1 point</w:t>
      </w:r>
    </w:p>
    <w:p w14:paraId="65F3F86B" w14:textId="77777777" w:rsidR="009B5329" w:rsidRDefault="009B5329" w:rsidP="009B5329">
      <w:pPr>
        <w:rPr>
          <w:rFonts w:asciiTheme="minorHAnsi" w:hAnsiTheme="minorHAnsi" w:cstheme="minorHAnsi"/>
          <w:shd w:val="clear" w:color="auto" w:fill="FFFFFF"/>
        </w:rPr>
      </w:pPr>
      <w:r>
        <w:rPr>
          <w:rFonts w:asciiTheme="minorHAnsi" w:hAnsiTheme="minorHAnsi" w:cstheme="minorHAnsi"/>
          <w:shd w:val="clear" w:color="auto" w:fill="FFFFFF"/>
        </w:rPr>
        <w:t>1 dispensary = 10 points</w:t>
      </w:r>
    </w:p>
    <w:p w14:paraId="5108B7B1" w14:textId="77777777" w:rsidR="002C4495" w:rsidRPr="005E7DD1" w:rsidRDefault="002C4495" w:rsidP="002C4495">
      <w:pPr>
        <w:rPr>
          <w:rFonts w:asciiTheme="minorHAnsi" w:hAnsiTheme="minorHAnsi" w:cstheme="minorHAnsi"/>
        </w:rPr>
      </w:pPr>
    </w:p>
    <w:p w14:paraId="2C68DEFB" w14:textId="4DF1107F" w:rsidR="00DE1E77" w:rsidRPr="005E7DD1" w:rsidRDefault="00DE1E77" w:rsidP="00DE1E77">
      <w:pPr>
        <w:outlineLvl w:val="0"/>
        <w:rPr>
          <w:rFonts w:asciiTheme="minorHAnsi" w:hAnsiTheme="minorHAnsi" w:cstheme="minorHAnsi"/>
          <w:b/>
          <w:color w:val="4472C4" w:themeColor="accent1"/>
        </w:rPr>
      </w:pPr>
      <w:r w:rsidRPr="005E7DD1">
        <w:rPr>
          <w:rFonts w:asciiTheme="minorHAnsi" w:hAnsiTheme="minorHAnsi" w:cstheme="minorHAnsi"/>
          <w:b/>
          <w:color w:val="4472C4" w:themeColor="accent1"/>
        </w:rPr>
        <w:t>Distance from Schools (Max 5 points)</w:t>
      </w:r>
    </w:p>
    <w:p w14:paraId="3412AD08" w14:textId="43424048" w:rsidR="0053298B" w:rsidRPr="005E7DD1" w:rsidRDefault="0053298B" w:rsidP="00EA7BF8">
      <w:pPr>
        <w:jc w:val="both"/>
        <w:outlineLvl w:val="0"/>
        <w:rPr>
          <w:rFonts w:asciiTheme="minorHAnsi" w:hAnsiTheme="minorHAnsi" w:cstheme="minorHAnsi"/>
          <w:color w:val="000000" w:themeColor="text1"/>
        </w:rPr>
      </w:pPr>
      <w:r w:rsidRPr="005E7DD1">
        <w:rPr>
          <w:rFonts w:asciiTheme="minorHAnsi" w:hAnsiTheme="minorHAnsi" w:cstheme="minorHAnsi"/>
          <w:b/>
          <w:color w:val="000000" w:themeColor="text1"/>
        </w:rPr>
        <w:t>Description</w:t>
      </w:r>
      <w:r w:rsidRPr="005E7DD1">
        <w:rPr>
          <w:rFonts w:asciiTheme="minorHAnsi" w:hAnsiTheme="minorHAnsi" w:cstheme="minorHAnsi"/>
          <w:color w:val="000000" w:themeColor="text1"/>
        </w:rPr>
        <w:t>: Mandating a distance greater than 600 feet between K-12 schools and retailers.</w:t>
      </w:r>
    </w:p>
    <w:p w14:paraId="5FA8D23C" w14:textId="6A963DF5" w:rsidR="0053298B" w:rsidRPr="005E7DD1" w:rsidRDefault="0053298B" w:rsidP="00EA7BF8">
      <w:pPr>
        <w:jc w:val="both"/>
        <w:outlineLvl w:val="0"/>
        <w:rPr>
          <w:rFonts w:asciiTheme="minorHAnsi" w:hAnsiTheme="minorHAnsi" w:cstheme="minorHAnsi"/>
          <w:color w:val="000000" w:themeColor="text1"/>
        </w:rPr>
      </w:pPr>
    </w:p>
    <w:p w14:paraId="7B8CEEE3" w14:textId="537F9924" w:rsidR="0053298B" w:rsidRPr="005E7DD1" w:rsidRDefault="0053298B" w:rsidP="00EA7BF8">
      <w:pPr>
        <w:jc w:val="both"/>
        <w:outlineLvl w:val="0"/>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State Law: </w:t>
      </w:r>
      <w:r w:rsidRPr="005E7DD1">
        <w:rPr>
          <w:rFonts w:asciiTheme="minorHAnsi" w:hAnsiTheme="minorHAnsi" w:cstheme="minorHAnsi"/>
          <w:color w:val="000000" w:themeColor="text1"/>
        </w:rPr>
        <w:t>R</w:t>
      </w:r>
      <w:r w:rsidR="00DE1E77" w:rsidRPr="005E7DD1">
        <w:rPr>
          <w:rFonts w:asciiTheme="minorHAnsi" w:hAnsiTheme="minorHAnsi" w:cstheme="minorHAnsi"/>
          <w:color w:val="000000" w:themeColor="text1"/>
        </w:rPr>
        <w:t xml:space="preserve">etail dispensaries </w:t>
      </w:r>
      <w:r w:rsidRPr="005E7DD1">
        <w:rPr>
          <w:rFonts w:asciiTheme="minorHAnsi" w:hAnsiTheme="minorHAnsi" w:cstheme="minorHAnsi"/>
          <w:color w:val="000000" w:themeColor="text1"/>
        </w:rPr>
        <w:t xml:space="preserve">are not </w:t>
      </w:r>
      <w:r w:rsidR="00DE1E77" w:rsidRPr="005E7DD1">
        <w:rPr>
          <w:rFonts w:asciiTheme="minorHAnsi" w:hAnsiTheme="minorHAnsi" w:cstheme="minorHAnsi"/>
          <w:color w:val="000000" w:themeColor="text1"/>
        </w:rPr>
        <w:t>licensed to operate within 600 feet of K-12 schools, daycares, or youth centers, unless the local government issuing the license agrees to a smaller distance requirement.</w:t>
      </w:r>
      <w:r w:rsidR="004B188D" w:rsidRPr="005E7DD1">
        <w:rPr>
          <w:rStyle w:val="FootnoteReference"/>
          <w:rFonts w:asciiTheme="minorHAnsi" w:hAnsiTheme="minorHAnsi" w:cstheme="minorHAnsi"/>
          <w:color w:val="000000" w:themeColor="text1"/>
        </w:rPr>
        <w:footnoteReference w:id="17"/>
      </w:r>
      <w:r w:rsidR="007A6306">
        <w:rPr>
          <w:rFonts w:asciiTheme="minorHAnsi" w:hAnsiTheme="minorHAnsi" w:cstheme="minorHAnsi"/>
          <w:color w:val="000000" w:themeColor="text1"/>
        </w:rPr>
        <w:t xml:space="preserve"> </w:t>
      </w:r>
      <w:r w:rsidR="008603BA">
        <w:rPr>
          <w:rFonts w:asciiTheme="minorHAnsi" w:hAnsiTheme="minorHAnsi" w:cstheme="minorHAnsi"/>
          <w:color w:val="000000" w:themeColor="text1"/>
        </w:rPr>
        <w:t>Score: 5.</w:t>
      </w:r>
    </w:p>
    <w:p w14:paraId="12332646" w14:textId="4F4FF517" w:rsidR="0053298B" w:rsidRPr="005E7DD1" w:rsidRDefault="0053298B" w:rsidP="00EA7BF8">
      <w:pPr>
        <w:jc w:val="both"/>
        <w:outlineLvl w:val="0"/>
        <w:rPr>
          <w:rFonts w:asciiTheme="minorHAnsi" w:hAnsiTheme="minorHAnsi" w:cstheme="minorHAnsi"/>
          <w:color w:val="000000" w:themeColor="text1"/>
        </w:rPr>
      </w:pPr>
    </w:p>
    <w:p w14:paraId="4E3F1395" w14:textId="6B93E74F" w:rsidR="00DE1E77" w:rsidRPr="005E7DD1" w:rsidRDefault="0053298B" w:rsidP="00EA7BF8">
      <w:pPr>
        <w:jc w:val="both"/>
        <w:outlineLvl w:val="0"/>
        <w:rPr>
          <w:rFonts w:asciiTheme="minorHAnsi" w:hAnsiTheme="minorHAnsi" w:cstheme="minorHAnsi"/>
          <w:b/>
          <w:color w:val="000000" w:themeColor="text1"/>
        </w:rPr>
      </w:pPr>
      <w:r w:rsidRPr="005E7DD1">
        <w:rPr>
          <w:rFonts w:asciiTheme="minorHAnsi" w:hAnsiTheme="minorHAnsi" w:cstheme="minorHAnsi"/>
          <w:b/>
          <w:color w:val="000000" w:themeColor="text1"/>
        </w:rPr>
        <w:t>Rationale</w:t>
      </w:r>
      <w:r w:rsidR="00AA18A0">
        <w:rPr>
          <w:rFonts w:asciiTheme="minorHAnsi" w:hAnsiTheme="minorHAnsi" w:cstheme="minorHAnsi"/>
          <w:b/>
          <w:color w:val="000000" w:themeColor="text1"/>
        </w:rPr>
        <w:t xml:space="preserve"> &amp; Points</w:t>
      </w:r>
      <w:r w:rsidRPr="005E7DD1">
        <w:rPr>
          <w:rFonts w:asciiTheme="minorHAnsi" w:hAnsiTheme="minorHAnsi" w:cstheme="minorHAnsi"/>
          <w:b/>
          <w:color w:val="000000" w:themeColor="text1"/>
        </w:rPr>
        <w:t xml:space="preserve">: </w:t>
      </w:r>
      <w:r w:rsidR="00DE1E77" w:rsidRPr="005E7DD1">
        <w:rPr>
          <w:rFonts w:asciiTheme="minorHAnsi" w:hAnsiTheme="minorHAnsi" w:cstheme="minorHAnsi"/>
          <w:color w:val="000000" w:themeColor="text1"/>
        </w:rPr>
        <w:t xml:space="preserve">Based on the literature on tobacco and alcohol, the close </w:t>
      </w:r>
      <w:r w:rsidR="00DE1E77" w:rsidRPr="005E7DD1">
        <w:rPr>
          <w:rFonts w:asciiTheme="minorHAnsi" w:hAnsiTheme="minorHAnsi" w:cstheme="minorHAnsi"/>
          <w:color w:val="000000"/>
          <w:shd w:val="clear" w:color="auto" w:fill="FFFFFF"/>
        </w:rPr>
        <w:t xml:space="preserve">proximity of </w:t>
      </w:r>
      <w:r w:rsidR="00F94D7B">
        <w:rPr>
          <w:rFonts w:asciiTheme="minorHAnsi" w:hAnsiTheme="minorHAnsi" w:cstheme="minorHAnsi"/>
          <w:color w:val="000000"/>
          <w:shd w:val="clear" w:color="auto" w:fill="FFFFFF"/>
        </w:rPr>
        <w:t>cannabis</w:t>
      </w:r>
      <w:r w:rsidR="00DE1E77" w:rsidRPr="005E7DD1">
        <w:rPr>
          <w:rFonts w:asciiTheme="minorHAnsi" w:hAnsiTheme="minorHAnsi" w:cstheme="minorHAnsi"/>
          <w:color w:val="000000"/>
          <w:shd w:val="clear" w:color="auto" w:fill="FFFFFF"/>
        </w:rPr>
        <w:t xml:space="preserve"> stores to schools may increase the risks of </w:t>
      </w:r>
      <w:r w:rsidR="00F94D7B">
        <w:rPr>
          <w:rFonts w:asciiTheme="minorHAnsi" w:hAnsiTheme="minorHAnsi" w:cstheme="minorHAnsi"/>
          <w:color w:val="000000"/>
          <w:shd w:val="clear" w:color="auto" w:fill="FFFFFF"/>
        </w:rPr>
        <w:t>cannabis</w:t>
      </w:r>
      <w:r w:rsidR="00DE1E77" w:rsidRPr="005E7DD1">
        <w:rPr>
          <w:rFonts w:asciiTheme="minorHAnsi" w:hAnsiTheme="minorHAnsi" w:cstheme="minorHAnsi"/>
          <w:color w:val="000000"/>
          <w:shd w:val="clear" w:color="auto" w:fill="FFFFFF"/>
        </w:rPr>
        <w:t xml:space="preserve"> use among adolescents who are at a particularly high risk of developing </w:t>
      </w:r>
      <w:r w:rsidR="00F94D7B">
        <w:rPr>
          <w:rFonts w:asciiTheme="minorHAnsi" w:hAnsiTheme="minorHAnsi" w:cstheme="minorHAnsi"/>
          <w:color w:val="000000"/>
          <w:shd w:val="clear" w:color="auto" w:fill="FFFFFF"/>
        </w:rPr>
        <w:t>cannabis</w:t>
      </w:r>
      <w:r w:rsidR="00DE1E77" w:rsidRPr="005E7DD1">
        <w:rPr>
          <w:rFonts w:asciiTheme="minorHAnsi" w:hAnsiTheme="minorHAnsi" w:cstheme="minorHAnsi"/>
          <w:color w:val="000000"/>
          <w:shd w:val="clear" w:color="auto" w:fill="FFFFFF"/>
        </w:rPr>
        <w:t xml:space="preserve"> use disorders and other negative health consequences.</w:t>
      </w:r>
      <w:r w:rsidR="00DE1E77" w:rsidRPr="005E7DD1">
        <w:rPr>
          <w:rStyle w:val="FootnoteReference"/>
          <w:rFonts w:asciiTheme="minorHAnsi" w:hAnsiTheme="minorHAnsi" w:cstheme="minorHAnsi"/>
          <w:color w:val="000000"/>
          <w:shd w:val="clear" w:color="auto" w:fill="FFFFFF"/>
        </w:rPr>
        <w:footnoteReference w:id="18"/>
      </w:r>
      <w:r w:rsidR="00DE1E77" w:rsidRPr="005E7DD1">
        <w:rPr>
          <w:rFonts w:asciiTheme="minorHAnsi" w:hAnsiTheme="minorHAnsi" w:cstheme="minorHAnsi"/>
          <w:color w:val="000000"/>
          <w:shd w:val="clear" w:color="auto" w:fill="FFFFFF"/>
        </w:rPr>
        <w:t xml:space="preserve"> </w:t>
      </w:r>
      <w:r w:rsidR="00595D2C" w:rsidRPr="005E7DD1">
        <w:rPr>
          <w:rFonts w:asciiTheme="minorHAnsi" w:hAnsiTheme="minorHAnsi" w:cstheme="minorHAnsi"/>
          <w:color w:val="000000"/>
          <w:shd w:val="clear" w:color="auto" w:fill="FFFFFF"/>
        </w:rPr>
        <w:t>We recommend a minimum distance of 1,000 feet. J</w:t>
      </w:r>
      <w:r w:rsidR="004B188D" w:rsidRPr="005E7DD1">
        <w:rPr>
          <w:rFonts w:asciiTheme="minorHAnsi" w:hAnsiTheme="minorHAnsi" w:cstheme="minorHAnsi"/>
          <w:color w:val="000000"/>
          <w:shd w:val="clear" w:color="auto" w:fill="FFFFFF"/>
        </w:rPr>
        <w:t>urisdictions that enact school distance requirements in excess of 600 feet are awarded 5 points. However, l</w:t>
      </w:r>
      <w:r w:rsidR="00DE1E77" w:rsidRPr="005E7DD1">
        <w:rPr>
          <w:rFonts w:asciiTheme="minorHAnsi" w:hAnsiTheme="minorHAnsi" w:cstheme="minorHAnsi"/>
          <w:color w:val="000000"/>
          <w:shd w:val="clear" w:color="auto" w:fill="FFFFFF"/>
        </w:rPr>
        <w:t>ocalities that go below the 600 foot requirement</w:t>
      </w:r>
      <w:r w:rsidR="004B188D" w:rsidRPr="005E7DD1">
        <w:rPr>
          <w:rFonts w:asciiTheme="minorHAnsi" w:hAnsiTheme="minorHAnsi" w:cstheme="minorHAnsi"/>
          <w:color w:val="000000"/>
          <w:shd w:val="clear" w:color="auto" w:fill="FFFFFF"/>
        </w:rPr>
        <w:t xml:space="preserve"> set forth in the state regulations will</w:t>
      </w:r>
      <w:r w:rsidR="00DE1E77" w:rsidRPr="005E7DD1">
        <w:rPr>
          <w:rFonts w:asciiTheme="minorHAnsi" w:hAnsiTheme="minorHAnsi" w:cstheme="minorHAnsi"/>
          <w:color w:val="000000"/>
          <w:shd w:val="clear" w:color="auto" w:fill="FFFFFF"/>
        </w:rPr>
        <w:t xml:space="preserve"> receive </w:t>
      </w:r>
      <w:r w:rsidR="004B188D" w:rsidRPr="005E7DD1">
        <w:rPr>
          <w:rFonts w:asciiTheme="minorHAnsi" w:hAnsiTheme="minorHAnsi" w:cstheme="minorHAnsi"/>
          <w:color w:val="000000"/>
          <w:shd w:val="clear" w:color="auto" w:fill="FFFFFF"/>
        </w:rPr>
        <w:t xml:space="preserve">negative five points. </w:t>
      </w:r>
    </w:p>
    <w:p w14:paraId="64DF1125" w14:textId="77777777" w:rsidR="00DE1E77" w:rsidRPr="005E7DD1" w:rsidRDefault="00DE1E77" w:rsidP="00DE1E77">
      <w:pPr>
        <w:outlineLvl w:val="0"/>
        <w:rPr>
          <w:rFonts w:asciiTheme="minorHAnsi" w:hAnsiTheme="minorHAnsi" w:cstheme="minorHAnsi"/>
          <w:b/>
          <w:color w:val="000000" w:themeColor="text1"/>
        </w:rPr>
      </w:pPr>
    </w:p>
    <w:p w14:paraId="1FE68636" w14:textId="794C87D7" w:rsidR="00DE1E77" w:rsidRPr="005E7DD1" w:rsidRDefault="00DE1E77" w:rsidP="00DE1E77">
      <w:pPr>
        <w:outlineLvl w:val="0"/>
        <w:rPr>
          <w:rFonts w:asciiTheme="minorHAnsi" w:hAnsiTheme="minorHAnsi" w:cstheme="minorHAnsi"/>
          <w:b/>
          <w:color w:val="4472C4" w:themeColor="accent1"/>
        </w:rPr>
      </w:pPr>
      <w:r w:rsidRPr="005E7DD1">
        <w:rPr>
          <w:rFonts w:asciiTheme="minorHAnsi" w:hAnsiTheme="minorHAnsi" w:cstheme="minorHAnsi"/>
          <w:b/>
          <w:color w:val="4472C4" w:themeColor="accent1"/>
        </w:rPr>
        <w:t>Additional Location Restrictions</w:t>
      </w:r>
      <w:r w:rsidR="0053298B" w:rsidRPr="005E7DD1">
        <w:rPr>
          <w:rFonts w:asciiTheme="minorHAnsi" w:hAnsiTheme="minorHAnsi" w:cstheme="minorHAnsi"/>
          <w:b/>
          <w:color w:val="4472C4" w:themeColor="accent1"/>
        </w:rPr>
        <w:t xml:space="preserve"> (3 points)</w:t>
      </w:r>
    </w:p>
    <w:p w14:paraId="0804464F" w14:textId="61516C07" w:rsidR="00595D2C" w:rsidRPr="005E7DD1" w:rsidRDefault="00595D2C" w:rsidP="00EA7BF8">
      <w:pPr>
        <w:jc w:val="both"/>
        <w:outlineLvl w:val="0"/>
        <w:rPr>
          <w:rFonts w:asciiTheme="minorHAnsi" w:hAnsiTheme="minorHAnsi" w:cstheme="minorHAnsi"/>
          <w:color w:val="000000" w:themeColor="text1"/>
        </w:rPr>
      </w:pPr>
      <w:r w:rsidRPr="005E7DD1">
        <w:rPr>
          <w:rFonts w:asciiTheme="minorHAnsi" w:hAnsiTheme="minorHAnsi" w:cstheme="minorHAnsi"/>
          <w:b/>
          <w:color w:val="000000" w:themeColor="text1"/>
        </w:rPr>
        <w:t>Description</w:t>
      </w:r>
      <w:r w:rsidRPr="005E7DD1">
        <w:rPr>
          <w:rFonts w:asciiTheme="minorHAnsi" w:hAnsiTheme="minorHAnsi" w:cstheme="minorHAnsi"/>
          <w:color w:val="000000" w:themeColor="text1"/>
        </w:rPr>
        <w:t>: Mandating additional restriction</w:t>
      </w:r>
      <w:r w:rsidR="00F64532">
        <w:rPr>
          <w:rFonts w:asciiTheme="minorHAnsi" w:hAnsiTheme="minorHAnsi" w:cstheme="minorHAnsi"/>
          <w:color w:val="000000" w:themeColor="text1"/>
        </w:rPr>
        <w:t>s</w:t>
      </w:r>
      <w:r w:rsidRPr="005E7DD1">
        <w:rPr>
          <w:rFonts w:asciiTheme="minorHAnsi" w:hAnsiTheme="minorHAnsi" w:cstheme="minorHAnsi"/>
          <w:color w:val="000000" w:themeColor="text1"/>
        </w:rPr>
        <w:t xml:space="preserve"> on retailer locations such as parks, playgrounds </w:t>
      </w:r>
      <w:r w:rsidR="00F64532">
        <w:rPr>
          <w:rFonts w:asciiTheme="minorHAnsi" w:hAnsiTheme="minorHAnsi" w:cstheme="minorHAnsi"/>
          <w:color w:val="000000" w:themeColor="text1"/>
        </w:rPr>
        <w:t xml:space="preserve">universities, colleges </w:t>
      </w:r>
      <w:r w:rsidRPr="005E7DD1">
        <w:rPr>
          <w:rFonts w:asciiTheme="minorHAnsi" w:hAnsiTheme="minorHAnsi" w:cstheme="minorHAnsi"/>
          <w:color w:val="000000" w:themeColor="text1"/>
        </w:rPr>
        <w:t xml:space="preserve">or residential zones. </w:t>
      </w:r>
    </w:p>
    <w:p w14:paraId="3B564FC3" w14:textId="793EB38B" w:rsidR="00595D2C" w:rsidRPr="005E7DD1" w:rsidRDefault="00595D2C" w:rsidP="00EA7BF8">
      <w:pPr>
        <w:jc w:val="both"/>
        <w:outlineLvl w:val="0"/>
        <w:rPr>
          <w:rFonts w:asciiTheme="minorHAnsi" w:hAnsiTheme="minorHAnsi" w:cstheme="minorHAnsi"/>
          <w:color w:val="000000" w:themeColor="text1"/>
        </w:rPr>
      </w:pPr>
    </w:p>
    <w:p w14:paraId="3A1E005E" w14:textId="6913B3CE" w:rsidR="00595D2C" w:rsidRPr="005E7DD1" w:rsidRDefault="00595D2C" w:rsidP="00EA7BF8">
      <w:pPr>
        <w:jc w:val="both"/>
        <w:outlineLvl w:val="0"/>
        <w:rPr>
          <w:rFonts w:asciiTheme="minorHAnsi" w:hAnsiTheme="minorHAnsi" w:cstheme="minorHAnsi"/>
          <w:color w:val="000000" w:themeColor="text1"/>
        </w:rPr>
      </w:pPr>
      <w:r w:rsidRPr="005E7DD1">
        <w:rPr>
          <w:rFonts w:asciiTheme="minorHAnsi" w:hAnsiTheme="minorHAnsi" w:cstheme="minorHAnsi"/>
          <w:b/>
          <w:color w:val="000000" w:themeColor="text1"/>
        </w:rPr>
        <w:t>State Law:</w:t>
      </w:r>
      <w:r w:rsidR="007A6306">
        <w:rPr>
          <w:rFonts w:asciiTheme="minorHAnsi" w:hAnsiTheme="minorHAnsi" w:cstheme="minorHAnsi"/>
          <w:b/>
          <w:color w:val="000000" w:themeColor="text1"/>
        </w:rPr>
        <w:t xml:space="preserve"> </w:t>
      </w:r>
      <w:r w:rsidRPr="005E7DD1">
        <w:rPr>
          <w:rFonts w:asciiTheme="minorHAnsi" w:hAnsiTheme="minorHAnsi" w:cstheme="minorHAnsi"/>
          <w:color w:val="000000" w:themeColor="text1"/>
        </w:rPr>
        <w:t xml:space="preserve">Retailers </w:t>
      </w:r>
      <w:r w:rsidR="004B188D" w:rsidRPr="005E7DD1">
        <w:rPr>
          <w:rFonts w:asciiTheme="minorHAnsi" w:hAnsiTheme="minorHAnsi" w:cstheme="minorHAnsi"/>
          <w:color w:val="000000" w:themeColor="text1"/>
        </w:rPr>
        <w:t>are only prohibited from locating with 600 feet of daycares, K-12 schools, and youth centers (defined as a facility primarily used to host recreational or social activities for minors such as clubs, video arcades or “similar amusement park facilities”)</w:t>
      </w:r>
      <w:r w:rsidR="0034683F" w:rsidRPr="005E7DD1">
        <w:rPr>
          <w:rFonts w:asciiTheme="minorHAnsi" w:hAnsiTheme="minorHAnsi" w:cstheme="minorHAnsi"/>
          <w:color w:val="000000" w:themeColor="text1"/>
        </w:rPr>
        <w:t>.</w:t>
      </w:r>
      <w:r w:rsidR="004B188D" w:rsidRPr="005E7DD1">
        <w:rPr>
          <w:rStyle w:val="FootnoteReference"/>
          <w:rFonts w:asciiTheme="minorHAnsi" w:hAnsiTheme="minorHAnsi" w:cstheme="minorHAnsi"/>
          <w:color w:val="000000" w:themeColor="text1"/>
        </w:rPr>
        <w:footnoteReference w:id="19"/>
      </w:r>
      <w:r w:rsidR="007A6306">
        <w:rPr>
          <w:rFonts w:asciiTheme="minorHAnsi" w:hAnsiTheme="minorHAnsi" w:cstheme="minorHAnsi"/>
          <w:color w:val="000000" w:themeColor="text1"/>
        </w:rPr>
        <w:t xml:space="preserve"> </w:t>
      </w:r>
      <w:r w:rsidR="008603BA">
        <w:rPr>
          <w:rFonts w:asciiTheme="minorHAnsi" w:hAnsiTheme="minorHAnsi" w:cstheme="minorHAnsi"/>
          <w:color w:val="000000" w:themeColor="text1"/>
        </w:rPr>
        <w:t>Score</w:t>
      </w:r>
      <w:r w:rsidR="00473869">
        <w:rPr>
          <w:rFonts w:asciiTheme="minorHAnsi" w:hAnsiTheme="minorHAnsi" w:cstheme="minorHAnsi"/>
          <w:color w:val="000000" w:themeColor="text1"/>
        </w:rPr>
        <w:t>: 0</w:t>
      </w:r>
    </w:p>
    <w:p w14:paraId="3BB006D3" w14:textId="77777777" w:rsidR="00595D2C" w:rsidRPr="005E7DD1" w:rsidRDefault="00595D2C" w:rsidP="00EA7BF8">
      <w:pPr>
        <w:jc w:val="both"/>
        <w:outlineLvl w:val="0"/>
        <w:rPr>
          <w:rFonts w:asciiTheme="minorHAnsi" w:hAnsiTheme="minorHAnsi" w:cstheme="minorHAnsi"/>
          <w:color w:val="000000" w:themeColor="text1"/>
        </w:rPr>
      </w:pPr>
    </w:p>
    <w:p w14:paraId="649C62CD" w14:textId="3DB6FE33" w:rsidR="0034683F" w:rsidRDefault="00595D2C" w:rsidP="00EA7BF8">
      <w:pPr>
        <w:jc w:val="both"/>
        <w:outlineLvl w:val="0"/>
        <w:rPr>
          <w:rFonts w:asciiTheme="minorHAnsi" w:hAnsiTheme="minorHAnsi" w:cstheme="minorHAnsi"/>
        </w:rPr>
      </w:pPr>
      <w:r w:rsidRPr="005E7DD1">
        <w:rPr>
          <w:rFonts w:asciiTheme="minorHAnsi" w:hAnsiTheme="minorHAnsi" w:cstheme="minorHAnsi"/>
          <w:b/>
          <w:color w:val="000000" w:themeColor="text1"/>
        </w:rPr>
        <w:t>Rationale</w:t>
      </w:r>
      <w:r w:rsidR="00AA18A0">
        <w:rPr>
          <w:rFonts w:asciiTheme="minorHAnsi" w:hAnsiTheme="minorHAnsi" w:cstheme="minorHAnsi"/>
          <w:b/>
          <w:color w:val="000000" w:themeColor="text1"/>
        </w:rPr>
        <w:t xml:space="preserve"> &amp; Points</w:t>
      </w:r>
      <w:r w:rsidRPr="005E7DD1">
        <w:rPr>
          <w:rFonts w:asciiTheme="minorHAnsi" w:hAnsiTheme="minorHAnsi" w:cstheme="minorHAnsi"/>
          <w:b/>
          <w:color w:val="000000" w:themeColor="text1"/>
        </w:rPr>
        <w:t xml:space="preserve">: </w:t>
      </w:r>
      <w:r w:rsidRPr="005E7DD1">
        <w:rPr>
          <w:rFonts w:asciiTheme="minorHAnsi" w:hAnsiTheme="minorHAnsi" w:cstheme="minorHAnsi"/>
          <w:color w:val="000000" w:themeColor="text1"/>
        </w:rPr>
        <w:t>Many</w:t>
      </w:r>
      <w:r w:rsidR="0034683F" w:rsidRPr="005E7DD1">
        <w:rPr>
          <w:rFonts w:asciiTheme="minorHAnsi" w:hAnsiTheme="minorHAnsi" w:cstheme="minorHAnsi"/>
          <w:color w:val="000000" w:themeColor="text1"/>
        </w:rPr>
        <w:t xml:space="preserve"> cities</w:t>
      </w:r>
      <w:r w:rsidRPr="005E7DD1">
        <w:rPr>
          <w:rFonts w:asciiTheme="minorHAnsi" w:hAnsiTheme="minorHAnsi" w:cstheme="minorHAnsi"/>
          <w:color w:val="000000" w:themeColor="text1"/>
        </w:rPr>
        <w:t xml:space="preserve"> and </w:t>
      </w:r>
      <w:r w:rsidR="0034683F" w:rsidRPr="005E7DD1">
        <w:rPr>
          <w:rFonts w:asciiTheme="minorHAnsi" w:hAnsiTheme="minorHAnsi" w:cstheme="minorHAnsi"/>
          <w:color w:val="000000" w:themeColor="text1"/>
        </w:rPr>
        <w:t xml:space="preserve">counties </w:t>
      </w:r>
      <w:r w:rsidRPr="005E7DD1">
        <w:rPr>
          <w:rFonts w:asciiTheme="minorHAnsi" w:hAnsiTheme="minorHAnsi" w:cstheme="minorHAnsi"/>
        </w:rPr>
        <w:t>have</w:t>
      </w:r>
      <w:r w:rsidR="00DE1E77" w:rsidRPr="005E7DD1">
        <w:rPr>
          <w:rFonts w:asciiTheme="minorHAnsi" w:hAnsiTheme="minorHAnsi" w:cstheme="minorHAnsi"/>
        </w:rPr>
        <w:t xml:space="preserve"> other locations, such as teen centers, which may not be readily identifiable, in which youth congregate and which should be free of cannabis retailers. We have strongly encouraged the inclusion of community colleges, colleges and </w:t>
      </w:r>
      <w:r w:rsidR="00DE1E77" w:rsidRPr="005E7DD1">
        <w:rPr>
          <w:rFonts w:asciiTheme="minorHAnsi" w:hAnsiTheme="minorHAnsi" w:cstheme="minorHAnsi"/>
        </w:rPr>
        <w:lastRenderedPageBreak/>
        <w:t>universities as sensitive use sites that should be free from cannabis retailers</w:t>
      </w:r>
      <w:r w:rsidR="00F64532">
        <w:rPr>
          <w:rFonts w:asciiTheme="minorHAnsi" w:hAnsiTheme="minorHAnsi" w:cstheme="minorHAnsi"/>
        </w:rPr>
        <w:t xml:space="preserve">, given </w:t>
      </w:r>
      <w:r w:rsidR="008603BA">
        <w:rPr>
          <w:rFonts w:asciiTheme="minorHAnsi" w:hAnsiTheme="minorHAnsi" w:cstheme="minorHAnsi"/>
        </w:rPr>
        <w:t xml:space="preserve">roughly half </w:t>
      </w:r>
      <w:r w:rsidR="00A857C4">
        <w:rPr>
          <w:rFonts w:asciiTheme="minorHAnsi" w:hAnsiTheme="minorHAnsi" w:cstheme="minorHAnsi"/>
        </w:rPr>
        <w:t xml:space="preserve">or more of </w:t>
      </w:r>
      <w:r w:rsidR="008603BA">
        <w:rPr>
          <w:rFonts w:asciiTheme="minorHAnsi" w:hAnsiTheme="minorHAnsi" w:cstheme="minorHAnsi"/>
        </w:rPr>
        <w:t xml:space="preserve">the college population are likely to be </w:t>
      </w:r>
      <w:r w:rsidR="00A857C4">
        <w:rPr>
          <w:rFonts w:asciiTheme="minorHAnsi" w:hAnsiTheme="minorHAnsi" w:cstheme="minorHAnsi"/>
        </w:rPr>
        <w:t>under age 21</w:t>
      </w:r>
      <w:r w:rsidR="008603BA">
        <w:rPr>
          <w:rFonts w:asciiTheme="minorHAnsi" w:hAnsiTheme="minorHAnsi" w:cstheme="minorHAnsi"/>
        </w:rPr>
        <w:t xml:space="preserve">, </w:t>
      </w:r>
      <w:r w:rsidR="00F64532">
        <w:rPr>
          <w:rFonts w:asciiTheme="minorHAnsi" w:hAnsiTheme="minorHAnsi" w:cstheme="minorHAnsi"/>
        </w:rPr>
        <w:t xml:space="preserve">the rapid increases in use by college age youth </w:t>
      </w:r>
      <w:r w:rsidR="008603BA">
        <w:rPr>
          <w:rFonts w:asciiTheme="minorHAnsi" w:hAnsiTheme="minorHAnsi" w:cstheme="minorHAnsi"/>
        </w:rPr>
        <w:t xml:space="preserve">in recent years </w:t>
      </w:r>
      <w:r w:rsidR="00F64532">
        <w:rPr>
          <w:rFonts w:asciiTheme="minorHAnsi" w:hAnsiTheme="minorHAnsi" w:cstheme="minorHAnsi"/>
        </w:rPr>
        <w:t>and the evidence of greater susceptibility to negative impact through the mid 20s</w:t>
      </w:r>
      <w:r w:rsidR="004B188D" w:rsidRPr="005E7DD1">
        <w:rPr>
          <w:rFonts w:asciiTheme="minorHAnsi" w:hAnsiTheme="minorHAnsi" w:cstheme="minorHAnsi"/>
        </w:rPr>
        <w:t>.</w:t>
      </w:r>
      <w:r w:rsidR="008C70EE">
        <w:rPr>
          <w:rStyle w:val="FootnoteReference"/>
          <w:rFonts w:asciiTheme="minorHAnsi" w:hAnsiTheme="minorHAnsi" w:cstheme="minorHAnsi"/>
        </w:rPr>
        <w:footnoteReference w:id="20"/>
      </w:r>
      <w:r w:rsidR="00D55F03">
        <w:rPr>
          <w:rFonts w:asciiTheme="minorHAnsi" w:hAnsiTheme="minorHAnsi" w:cstheme="minorHAnsi"/>
        </w:rPr>
        <w:t>,</w:t>
      </w:r>
      <w:r w:rsidR="008C70EE">
        <w:rPr>
          <w:rStyle w:val="FootnoteReference"/>
          <w:rFonts w:asciiTheme="minorHAnsi" w:hAnsiTheme="minorHAnsi" w:cstheme="minorHAnsi"/>
        </w:rPr>
        <w:footnoteReference w:id="21"/>
      </w:r>
      <w:r w:rsidR="007A6306">
        <w:rPr>
          <w:rFonts w:asciiTheme="minorHAnsi" w:hAnsiTheme="minorHAnsi" w:cstheme="minorHAnsi"/>
        </w:rPr>
        <w:t xml:space="preserve"> </w:t>
      </w:r>
      <w:r w:rsidR="00DE1E77" w:rsidRPr="005E7DD1">
        <w:rPr>
          <w:rFonts w:asciiTheme="minorHAnsi" w:hAnsiTheme="minorHAnsi" w:cstheme="minorHAnsi"/>
        </w:rPr>
        <w:t xml:space="preserve">Some jurisdictions have also included libraries, public parks and playgrounds, and substance abuse centers in the list of sensitive areas that </w:t>
      </w:r>
      <w:r w:rsidR="0034683F" w:rsidRPr="005E7DD1">
        <w:rPr>
          <w:rFonts w:asciiTheme="minorHAnsi" w:hAnsiTheme="minorHAnsi" w:cstheme="minorHAnsi"/>
        </w:rPr>
        <w:t>should not have</w:t>
      </w:r>
      <w:r w:rsidR="00DE1E77" w:rsidRPr="005E7DD1">
        <w:rPr>
          <w:rFonts w:asciiTheme="minorHAnsi" w:hAnsiTheme="minorHAnsi" w:cstheme="minorHAnsi"/>
        </w:rPr>
        <w:t xml:space="preserve"> cannabis retailers. If a community chooses to increase the number of </w:t>
      </w:r>
      <w:r w:rsidR="0034683F" w:rsidRPr="005E7DD1">
        <w:rPr>
          <w:rFonts w:asciiTheme="minorHAnsi" w:hAnsiTheme="minorHAnsi" w:cstheme="minorHAnsi"/>
        </w:rPr>
        <w:t>sensitive use sites</w:t>
      </w:r>
      <w:r w:rsidR="00DE1E77" w:rsidRPr="005E7DD1">
        <w:rPr>
          <w:rFonts w:asciiTheme="minorHAnsi" w:hAnsiTheme="minorHAnsi" w:cstheme="minorHAnsi"/>
        </w:rPr>
        <w:t xml:space="preserve"> where retailers cannot locate over that required by state law, </w:t>
      </w:r>
      <w:r w:rsidR="0053298B" w:rsidRPr="005E7DD1">
        <w:rPr>
          <w:rFonts w:asciiTheme="minorHAnsi" w:hAnsiTheme="minorHAnsi" w:cstheme="minorHAnsi"/>
        </w:rPr>
        <w:t>they are awarded</w:t>
      </w:r>
      <w:r w:rsidR="00DE1E77" w:rsidRPr="005E7DD1">
        <w:rPr>
          <w:rFonts w:asciiTheme="minorHAnsi" w:hAnsiTheme="minorHAnsi" w:cstheme="minorHAnsi"/>
        </w:rPr>
        <w:t xml:space="preserve"> 3 points.</w:t>
      </w:r>
      <w:r w:rsidR="00F94D7B">
        <w:rPr>
          <w:rFonts w:asciiTheme="minorHAnsi" w:hAnsiTheme="minorHAnsi" w:cstheme="minorHAnsi"/>
        </w:rPr>
        <w:t xml:space="preserve"> </w:t>
      </w:r>
      <w:r w:rsidR="009B5329">
        <w:rPr>
          <w:rFonts w:asciiTheme="minorHAnsi" w:hAnsiTheme="minorHAnsi" w:cstheme="minorHAnsi"/>
        </w:rPr>
        <w:t xml:space="preserve">However, if a community </w:t>
      </w:r>
      <w:r w:rsidR="008603BA">
        <w:rPr>
          <w:rFonts w:asciiTheme="minorHAnsi" w:hAnsiTheme="minorHAnsi" w:cstheme="minorHAnsi"/>
        </w:rPr>
        <w:t xml:space="preserve">also then </w:t>
      </w:r>
      <w:r w:rsidR="009B5329">
        <w:rPr>
          <w:rFonts w:asciiTheme="minorHAnsi" w:hAnsiTheme="minorHAnsi" w:cstheme="minorHAnsi"/>
        </w:rPr>
        <w:t xml:space="preserve">removes or lessens the requirements placed by state law, they lose one point for each change (example: a community adopts restrictions on locating retailers near substance abuse treatment centers but removes the location requirement for youth centers. They would get 3 points minus 1 point for a total of 2 points). </w:t>
      </w:r>
    </w:p>
    <w:p w14:paraId="05200F31" w14:textId="77777777" w:rsidR="0034683F" w:rsidRPr="005E7DD1" w:rsidRDefault="0034683F" w:rsidP="00DE1E77">
      <w:pPr>
        <w:outlineLvl w:val="0"/>
        <w:rPr>
          <w:rFonts w:asciiTheme="minorHAnsi" w:hAnsiTheme="minorHAnsi" w:cstheme="minorHAnsi"/>
          <w:b/>
          <w:color w:val="4472C4" w:themeColor="accent1"/>
        </w:rPr>
      </w:pPr>
    </w:p>
    <w:p w14:paraId="7FFC656E" w14:textId="0D1B0EA9" w:rsidR="00DE1E77" w:rsidRPr="005E7DD1" w:rsidRDefault="00DE1E77" w:rsidP="00DE1E77">
      <w:pPr>
        <w:outlineLvl w:val="0"/>
        <w:rPr>
          <w:rFonts w:asciiTheme="minorHAnsi" w:hAnsiTheme="minorHAnsi" w:cstheme="minorHAnsi"/>
          <w:b/>
          <w:color w:val="4472C4" w:themeColor="accent1"/>
        </w:rPr>
      </w:pPr>
      <w:r w:rsidRPr="005E7DD1">
        <w:rPr>
          <w:rFonts w:asciiTheme="minorHAnsi" w:hAnsiTheme="minorHAnsi" w:cstheme="minorHAnsi"/>
          <w:b/>
          <w:color w:val="4472C4" w:themeColor="accent1"/>
        </w:rPr>
        <w:t>Retail Buffers</w:t>
      </w:r>
      <w:r w:rsidR="00F94D7B">
        <w:rPr>
          <w:rFonts w:asciiTheme="minorHAnsi" w:hAnsiTheme="minorHAnsi" w:cstheme="minorHAnsi"/>
          <w:b/>
          <w:color w:val="4472C4" w:themeColor="accent1"/>
        </w:rPr>
        <w:t xml:space="preserve"> </w:t>
      </w:r>
      <w:r w:rsidR="00C71E16" w:rsidRPr="008C70EE">
        <w:rPr>
          <w:rFonts w:asciiTheme="minorHAnsi" w:hAnsiTheme="minorHAnsi" w:cstheme="minorHAnsi"/>
          <w:b/>
          <w:color w:val="4472C4" w:themeColor="accent1"/>
        </w:rPr>
        <w:t xml:space="preserve">(2 points) </w:t>
      </w:r>
    </w:p>
    <w:p w14:paraId="11CD66CC" w14:textId="53C5003B" w:rsidR="00595D2C" w:rsidRPr="005E7DD1" w:rsidRDefault="00595D2C" w:rsidP="00EA7BF8">
      <w:pPr>
        <w:jc w:val="both"/>
        <w:outlineLvl w:val="0"/>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Description: </w:t>
      </w:r>
      <w:r w:rsidRPr="005E7DD1">
        <w:rPr>
          <w:rFonts w:asciiTheme="minorHAnsi" w:hAnsiTheme="minorHAnsi" w:cstheme="minorHAnsi"/>
          <w:color w:val="000000" w:themeColor="text1"/>
        </w:rPr>
        <w:t xml:space="preserve">Mandating a required distance between retail stores. We recommend 1,000 feet. </w:t>
      </w:r>
    </w:p>
    <w:p w14:paraId="47A6C3A1" w14:textId="63ABDC6A" w:rsidR="00595D2C" w:rsidRPr="005E7DD1" w:rsidRDefault="00595D2C" w:rsidP="00EA7BF8">
      <w:pPr>
        <w:jc w:val="both"/>
        <w:outlineLvl w:val="0"/>
        <w:rPr>
          <w:rFonts w:asciiTheme="minorHAnsi" w:hAnsiTheme="minorHAnsi" w:cstheme="minorHAnsi"/>
          <w:b/>
          <w:color w:val="000000" w:themeColor="text1"/>
        </w:rPr>
      </w:pPr>
    </w:p>
    <w:p w14:paraId="5333C20C" w14:textId="24FCDB92" w:rsidR="00595D2C" w:rsidRPr="005E7DD1" w:rsidRDefault="00595D2C" w:rsidP="00EA7BF8">
      <w:pPr>
        <w:jc w:val="both"/>
        <w:outlineLvl w:val="0"/>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State Law: </w:t>
      </w:r>
      <w:r w:rsidRPr="005E7DD1">
        <w:rPr>
          <w:rFonts w:asciiTheme="minorHAnsi" w:hAnsiTheme="minorHAnsi" w:cstheme="minorHAnsi"/>
          <w:color w:val="000000" w:themeColor="text1"/>
        </w:rPr>
        <w:t>None</w:t>
      </w:r>
      <w:r w:rsidR="008603BA">
        <w:rPr>
          <w:rFonts w:asciiTheme="minorHAnsi" w:hAnsiTheme="minorHAnsi" w:cstheme="minorHAnsi"/>
          <w:color w:val="000000" w:themeColor="text1"/>
        </w:rPr>
        <w:t>. Score: 0.</w:t>
      </w:r>
    </w:p>
    <w:p w14:paraId="41528C16" w14:textId="16D4FE3D" w:rsidR="00595D2C" w:rsidRPr="005E7DD1" w:rsidRDefault="00595D2C" w:rsidP="00EA7BF8">
      <w:pPr>
        <w:jc w:val="both"/>
        <w:outlineLvl w:val="0"/>
        <w:rPr>
          <w:rFonts w:asciiTheme="minorHAnsi" w:hAnsiTheme="minorHAnsi" w:cstheme="minorHAnsi"/>
          <w:color w:val="000000" w:themeColor="text1"/>
        </w:rPr>
      </w:pPr>
    </w:p>
    <w:p w14:paraId="16005659" w14:textId="56CA81CC" w:rsidR="0053298B" w:rsidRPr="005E7DD1" w:rsidRDefault="00595D2C" w:rsidP="00EA7BF8">
      <w:pPr>
        <w:jc w:val="both"/>
        <w:outlineLvl w:val="0"/>
        <w:rPr>
          <w:rFonts w:asciiTheme="minorHAnsi" w:hAnsiTheme="minorHAnsi" w:cstheme="minorHAnsi"/>
          <w:b/>
          <w:color w:val="000000" w:themeColor="text1"/>
        </w:rPr>
      </w:pPr>
      <w:r w:rsidRPr="005E7DD1">
        <w:rPr>
          <w:rFonts w:asciiTheme="minorHAnsi" w:hAnsiTheme="minorHAnsi" w:cstheme="minorHAnsi"/>
          <w:b/>
          <w:color w:val="000000" w:themeColor="text1"/>
        </w:rPr>
        <w:t>Rationale</w:t>
      </w:r>
      <w:r w:rsidR="00AA18A0">
        <w:rPr>
          <w:rFonts w:asciiTheme="minorHAnsi" w:hAnsiTheme="minorHAnsi" w:cstheme="minorHAnsi"/>
          <w:b/>
          <w:color w:val="000000" w:themeColor="text1"/>
        </w:rPr>
        <w:t xml:space="preserve"> &amp; Points</w:t>
      </w:r>
      <w:r w:rsidRPr="005E7DD1">
        <w:rPr>
          <w:rFonts w:asciiTheme="minorHAnsi" w:hAnsiTheme="minorHAnsi" w:cstheme="minorHAnsi"/>
          <w:b/>
          <w:color w:val="000000" w:themeColor="text1"/>
        </w:rPr>
        <w:t xml:space="preserve">: </w:t>
      </w:r>
      <w:r w:rsidR="0053298B" w:rsidRPr="005E7DD1">
        <w:rPr>
          <w:rFonts w:asciiTheme="minorHAnsi" w:hAnsiTheme="minorHAnsi" w:cstheme="minorHAnsi"/>
          <w:color w:val="000000" w:themeColor="text1"/>
        </w:rPr>
        <w:t>As with caps on retail stores, we are concerned with overconcentration and oversaturation of cannabis retailers particularly in health-disadvantaged neighborhoods. We know from tobacco literature that tobacco retailers tend to cluster in neighborhoods with a higher percentage of low-income residents or residents of color.</w:t>
      </w:r>
      <w:r w:rsidR="0053298B" w:rsidRPr="005E7DD1">
        <w:rPr>
          <w:rStyle w:val="FootnoteReference"/>
          <w:rFonts w:asciiTheme="minorHAnsi" w:hAnsiTheme="minorHAnsi" w:cstheme="minorHAnsi"/>
          <w:color w:val="000000" w:themeColor="text1"/>
        </w:rPr>
        <w:footnoteReference w:id="22"/>
      </w:r>
      <w:r w:rsidR="0053298B" w:rsidRPr="005E7DD1">
        <w:rPr>
          <w:rFonts w:asciiTheme="minorHAnsi" w:hAnsiTheme="minorHAnsi" w:cstheme="minorHAnsi"/>
          <w:color w:val="000000" w:themeColor="text1"/>
        </w:rPr>
        <w:t xml:space="preserve"> To avoid repeating this pattern of clustering in disadvantaged neighborhoods, we recommend a required distance of 1,000 feet between retailers. However, because state law does not require </w:t>
      </w:r>
      <w:r w:rsidR="0053298B" w:rsidRPr="005E7DD1">
        <w:rPr>
          <w:rFonts w:asciiTheme="minorHAnsi" w:hAnsiTheme="minorHAnsi" w:cstheme="minorHAnsi"/>
          <w:i/>
          <w:color w:val="000000" w:themeColor="text1"/>
        </w:rPr>
        <w:t>any</w:t>
      </w:r>
      <w:r w:rsidR="0053298B" w:rsidRPr="005E7DD1">
        <w:rPr>
          <w:rFonts w:asciiTheme="minorHAnsi" w:hAnsiTheme="minorHAnsi" w:cstheme="minorHAnsi"/>
          <w:color w:val="000000" w:themeColor="text1"/>
        </w:rPr>
        <w:t xml:space="preserve"> </w:t>
      </w:r>
      <w:r w:rsidRPr="005E7DD1">
        <w:rPr>
          <w:rFonts w:asciiTheme="minorHAnsi" w:hAnsiTheme="minorHAnsi" w:cstheme="minorHAnsi"/>
          <w:color w:val="000000" w:themeColor="text1"/>
        </w:rPr>
        <w:t xml:space="preserve">distance between retailers, we award 2 points if a jurisdiction places any minimum distance between retailers. </w:t>
      </w:r>
    </w:p>
    <w:p w14:paraId="0415B433" w14:textId="4B071E87" w:rsidR="00DE1E77" w:rsidRPr="005E7DD1" w:rsidRDefault="00DE1E77" w:rsidP="00DE1E77">
      <w:pPr>
        <w:outlineLvl w:val="0"/>
        <w:rPr>
          <w:rFonts w:asciiTheme="minorHAnsi" w:hAnsiTheme="minorHAnsi" w:cstheme="minorHAnsi"/>
          <w:b/>
          <w:color w:val="4472C4" w:themeColor="accent1"/>
        </w:rPr>
      </w:pPr>
      <w:r w:rsidRPr="005E7DD1">
        <w:rPr>
          <w:rFonts w:asciiTheme="minorHAnsi" w:hAnsiTheme="minorHAnsi" w:cstheme="minorHAnsi"/>
          <w:b/>
          <w:color w:val="000000" w:themeColor="text1"/>
        </w:rPr>
        <w:br/>
      </w:r>
      <w:r w:rsidRPr="005E7DD1">
        <w:rPr>
          <w:rFonts w:asciiTheme="minorHAnsi" w:hAnsiTheme="minorHAnsi" w:cstheme="minorHAnsi"/>
          <w:b/>
          <w:color w:val="4472C4" w:themeColor="accent1"/>
        </w:rPr>
        <w:t>Health Warnings Posted in Stores OR Handed Out to Consumers</w:t>
      </w:r>
      <w:r w:rsidR="007A6306">
        <w:rPr>
          <w:rFonts w:asciiTheme="minorHAnsi" w:hAnsiTheme="minorHAnsi" w:cstheme="minorHAnsi"/>
          <w:b/>
          <w:color w:val="4472C4" w:themeColor="accent1"/>
        </w:rPr>
        <w:t xml:space="preserve"> </w:t>
      </w:r>
      <w:r w:rsidRPr="005E7DD1">
        <w:rPr>
          <w:rFonts w:asciiTheme="minorHAnsi" w:hAnsiTheme="minorHAnsi" w:cstheme="minorHAnsi"/>
          <w:b/>
          <w:color w:val="4472C4" w:themeColor="accent1"/>
        </w:rPr>
        <w:t>(4 points for each)</w:t>
      </w:r>
    </w:p>
    <w:p w14:paraId="5B97CC9D" w14:textId="3C0946F1" w:rsidR="00595D2C" w:rsidRPr="005E7DD1" w:rsidRDefault="00595D2C" w:rsidP="00EA7BF8">
      <w:pPr>
        <w:jc w:val="both"/>
        <w:outlineLvl w:val="0"/>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Description: </w:t>
      </w:r>
      <w:r w:rsidRPr="005E7DD1">
        <w:rPr>
          <w:rFonts w:asciiTheme="minorHAnsi" w:hAnsiTheme="minorHAnsi" w:cstheme="minorHAnsi"/>
          <w:color w:val="000000" w:themeColor="text1"/>
        </w:rPr>
        <w:t>Mandating that retail stores either post health warnings visible to consumers or hand out health warning information sheets at point of sale. Health warnings that local jurisdictions are encouraged to require include information about the health risks of</w:t>
      </w:r>
      <w:r w:rsidR="00805210">
        <w:rPr>
          <w:rFonts w:asciiTheme="minorHAnsi" w:hAnsiTheme="minorHAnsi" w:cstheme="minorHAnsi"/>
          <w:color w:val="000000" w:themeColor="text1"/>
        </w:rPr>
        <w:t xml:space="preserve"> use</w:t>
      </w:r>
      <w:r w:rsidRPr="005E7DD1">
        <w:rPr>
          <w:rFonts w:asciiTheme="minorHAnsi" w:hAnsiTheme="minorHAnsi" w:cstheme="minorHAnsi"/>
          <w:color w:val="000000" w:themeColor="text1"/>
        </w:rPr>
        <w:t xml:space="preserve">: during pregnancy and breastfeeding, </w:t>
      </w:r>
      <w:r w:rsidR="00805210">
        <w:rPr>
          <w:rFonts w:asciiTheme="minorHAnsi" w:hAnsiTheme="minorHAnsi" w:cstheme="minorHAnsi"/>
          <w:color w:val="000000" w:themeColor="text1"/>
        </w:rPr>
        <w:t xml:space="preserve">before </w:t>
      </w:r>
      <w:r w:rsidRPr="005E7DD1">
        <w:rPr>
          <w:rFonts w:asciiTheme="minorHAnsi" w:hAnsiTheme="minorHAnsi" w:cstheme="minorHAnsi"/>
          <w:color w:val="000000" w:themeColor="text1"/>
        </w:rPr>
        <w:t>driving a motor vehicle,</w:t>
      </w:r>
      <w:r w:rsidR="007A6306">
        <w:rPr>
          <w:rFonts w:asciiTheme="minorHAnsi" w:hAnsiTheme="minorHAnsi" w:cstheme="minorHAnsi"/>
          <w:color w:val="000000" w:themeColor="text1"/>
        </w:rPr>
        <w:t xml:space="preserve"> </w:t>
      </w:r>
      <w:r w:rsidR="00805210">
        <w:rPr>
          <w:rFonts w:asciiTheme="minorHAnsi" w:hAnsiTheme="minorHAnsi" w:cstheme="minorHAnsi"/>
          <w:color w:val="000000" w:themeColor="text1"/>
        </w:rPr>
        <w:t xml:space="preserve">to </w:t>
      </w:r>
      <w:r w:rsidRPr="005E7DD1">
        <w:rPr>
          <w:rFonts w:asciiTheme="minorHAnsi" w:hAnsiTheme="minorHAnsi" w:cstheme="minorHAnsi"/>
          <w:color w:val="000000" w:themeColor="text1"/>
        </w:rPr>
        <w:t>youth and adolescent brain development, exacerbat</w:t>
      </w:r>
      <w:r w:rsidR="00805210">
        <w:rPr>
          <w:rFonts w:asciiTheme="minorHAnsi" w:hAnsiTheme="minorHAnsi" w:cstheme="minorHAnsi"/>
          <w:color w:val="000000" w:themeColor="text1"/>
        </w:rPr>
        <w:t>ing</w:t>
      </w:r>
      <w:r w:rsidRPr="005E7DD1">
        <w:rPr>
          <w:rFonts w:asciiTheme="minorHAnsi" w:hAnsiTheme="minorHAnsi" w:cstheme="minorHAnsi"/>
          <w:color w:val="000000" w:themeColor="text1"/>
        </w:rPr>
        <w:t xml:space="preserve"> or </w:t>
      </w:r>
      <w:r w:rsidR="00805210">
        <w:rPr>
          <w:rFonts w:asciiTheme="minorHAnsi" w:hAnsiTheme="minorHAnsi" w:cstheme="minorHAnsi"/>
          <w:color w:val="000000" w:themeColor="text1"/>
        </w:rPr>
        <w:t>initiating</w:t>
      </w:r>
      <w:r w:rsidRPr="005E7DD1">
        <w:rPr>
          <w:rFonts w:asciiTheme="minorHAnsi" w:hAnsiTheme="minorHAnsi" w:cstheme="minorHAnsi"/>
          <w:color w:val="000000" w:themeColor="text1"/>
        </w:rPr>
        <w:t xml:space="preserve"> new mental illness, and </w:t>
      </w:r>
      <w:r w:rsidR="00805210">
        <w:rPr>
          <w:rFonts w:asciiTheme="minorHAnsi" w:hAnsiTheme="minorHAnsi" w:cstheme="minorHAnsi"/>
          <w:color w:val="000000" w:themeColor="text1"/>
        </w:rPr>
        <w:t xml:space="preserve">on </w:t>
      </w:r>
      <w:r w:rsidRPr="005E7DD1">
        <w:rPr>
          <w:rFonts w:asciiTheme="minorHAnsi" w:hAnsiTheme="minorHAnsi" w:cstheme="minorHAnsi"/>
          <w:color w:val="000000" w:themeColor="text1"/>
        </w:rPr>
        <w:t xml:space="preserve">respiratory </w:t>
      </w:r>
      <w:r w:rsidR="00805210">
        <w:rPr>
          <w:rFonts w:asciiTheme="minorHAnsi" w:hAnsiTheme="minorHAnsi" w:cstheme="minorHAnsi"/>
          <w:color w:val="000000" w:themeColor="text1"/>
        </w:rPr>
        <w:t>health.</w:t>
      </w:r>
    </w:p>
    <w:p w14:paraId="3F81BD49" w14:textId="77777777" w:rsidR="00595D2C" w:rsidRPr="005E7DD1" w:rsidRDefault="00595D2C" w:rsidP="00EA7BF8">
      <w:pPr>
        <w:jc w:val="both"/>
        <w:outlineLvl w:val="0"/>
        <w:rPr>
          <w:rFonts w:asciiTheme="minorHAnsi" w:hAnsiTheme="minorHAnsi" w:cstheme="minorHAnsi"/>
          <w:b/>
          <w:color w:val="000000" w:themeColor="text1"/>
        </w:rPr>
      </w:pPr>
    </w:p>
    <w:p w14:paraId="6661CCBD" w14:textId="39B89D2B" w:rsidR="00595D2C" w:rsidRPr="005E7DD1" w:rsidRDefault="00595D2C" w:rsidP="00EA7BF8">
      <w:pPr>
        <w:jc w:val="both"/>
        <w:outlineLvl w:val="0"/>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State Law: </w:t>
      </w:r>
      <w:r w:rsidRPr="005E7DD1">
        <w:rPr>
          <w:rFonts w:asciiTheme="minorHAnsi" w:hAnsiTheme="minorHAnsi" w:cstheme="minorHAnsi"/>
          <w:color w:val="000000" w:themeColor="text1"/>
        </w:rPr>
        <w:t>No health warning</w:t>
      </w:r>
      <w:r w:rsidR="00F64532">
        <w:rPr>
          <w:rFonts w:asciiTheme="minorHAnsi" w:hAnsiTheme="minorHAnsi" w:cstheme="minorHAnsi"/>
          <w:color w:val="000000" w:themeColor="text1"/>
        </w:rPr>
        <w:t>s are</w:t>
      </w:r>
      <w:r w:rsidR="00F94D7B">
        <w:rPr>
          <w:rFonts w:asciiTheme="minorHAnsi" w:hAnsiTheme="minorHAnsi" w:cstheme="minorHAnsi"/>
          <w:color w:val="000000" w:themeColor="text1"/>
        </w:rPr>
        <w:t xml:space="preserve"> </w:t>
      </w:r>
      <w:r w:rsidRPr="005E7DD1">
        <w:rPr>
          <w:rFonts w:asciiTheme="minorHAnsi" w:hAnsiTheme="minorHAnsi" w:cstheme="minorHAnsi"/>
          <w:color w:val="000000" w:themeColor="text1"/>
        </w:rPr>
        <w:t>requir</w:t>
      </w:r>
      <w:r w:rsidR="00F64532">
        <w:rPr>
          <w:rFonts w:asciiTheme="minorHAnsi" w:hAnsiTheme="minorHAnsi" w:cstheme="minorHAnsi"/>
          <w:color w:val="000000" w:themeColor="text1"/>
        </w:rPr>
        <w:t>ed</w:t>
      </w:r>
      <w:r w:rsidRPr="005E7DD1">
        <w:rPr>
          <w:rFonts w:asciiTheme="minorHAnsi" w:hAnsiTheme="minorHAnsi" w:cstheme="minorHAnsi"/>
          <w:color w:val="000000" w:themeColor="text1"/>
        </w:rPr>
        <w:t xml:space="preserve"> </w:t>
      </w:r>
      <w:r w:rsidR="008603BA">
        <w:rPr>
          <w:rFonts w:asciiTheme="minorHAnsi" w:hAnsiTheme="minorHAnsi" w:cstheme="minorHAnsi"/>
          <w:color w:val="000000" w:themeColor="text1"/>
        </w:rPr>
        <w:t xml:space="preserve">to be </w:t>
      </w:r>
      <w:r w:rsidRPr="005E7DD1">
        <w:rPr>
          <w:rFonts w:asciiTheme="minorHAnsi" w:hAnsiTheme="minorHAnsi" w:cstheme="minorHAnsi"/>
          <w:color w:val="000000" w:themeColor="text1"/>
        </w:rPr>
        <w:t>posted in retail stores or handed out to consumers. Warnings are required on packag</w:t>
      </w:r>
      <w:r w:rsidR="00A136C8">
        <w:rPr>
          <w:rFonts w:asciiTheme="minorHAnsi" w:hAnsiTheme="minorHAnsi" w:cstheme="minorHAnsi"/>
          <w:color w:val="000000" w:themeColor="text1"/>
        </w:rPr>
        <w:t>ing</w:t>
      </w:r>
      <w:r w:rsidR="00F64532">
        <w:rPr>
          <w:rFonts w:asciiTheme="minorHAnsi" w:hAnsiTheme="minorHAnsi" w:cstheme="minorHAnsi"/>
          <w:color w:val="000000" w:themeColor="text1"/>
        </w:rPr>
        <w:t xml:space="preserve">, however these are required only in </w:t>
      </w:r>
      <w:proofErr w:type="gramStart"/>
      <w:r w:rsidR="00F64532">
        <w:rPr>
          <w:rFonts w:asciiTheme="minorHAnsi" w:hAnsiTheme="minorHAnsi" w:cstheme="minorHAnsi"/>
          <w:color w:val="000000" w:themeColor="text1"/>
        </w:rPr>
        <w:t>6 point</w:t>
      </w:r>
      <w:proofErr w:type="gramEnd"/>
      <w:r w:rsidR="00F64532">
        <w:rPr>
          <w:rFonts w:asciiTheme="minorHAnsi" w:hAnsiTheme="minorHAnsi" w:cstheme="minorHAnsi"/>
          <w:color w:val="000000" w:themeColor="text1"/>
        </w:rPr>
        <w:t xml:space="preserve"> font, which is extremely unlikely to be seen</w:t>
      </w:r>
      <w:r w:rsidRPr="005E7DD1">
        <w:rPr>
          <w:rFonts w:asciiTheme="minorHAnsi" w:hAnsiTheme="minorHAnsi" w:cstheme="minorHAnsi"/>
          <w:color w:val="000000" w:themeColor="text1"/>
        </w:rPr>
        <w:t>.</w:t>
      </w:r>
      <w:r w:rsidR="00F94D7B">
        <w:rPr>
          <w:rFonts w:asciiTheme="minorHAnsi" w:hAnsiTheme="minorHAnsi" w:cstheme="minorHAnsi"/>
          <w:color w:val="000000" w:themeColor="text1"/>
        </w:rPr>
        <w:t xml:space="preserve"> </w:t>
      </w:r>
      <w:r w:rsidR="00F64532">
        <w:rPr>
          <w:rFonts w:asciiTheme="minorHAnsi" w:hAnsiTheme="minorHAnsi" w:cstheme="minorHAnsi"/>
          <w:color w:val="000000" w:themeColor="text1"/>
        </w:rPr>
        <w:t xml:space="preserve">A December 2019 Proposition 65 decision will require warnings on dangers of use during pregnancy in the future. </w:t>
      </w:r>
      <w:r w:rsidR="008603BA">
        <w:rPr>
          <w:rFonts w:asciiTheme="minorHAnsi" w:hAnsiTheme="minorHAnsi" w:cstheme="minorHAnsi"/>
          <w:color w:val="000000" w:themeColor="text1"/>
        </w:rPr>
        <w:t>Score: 0.</w:t>
      </w:r>
    </w:p>
    <w:p w14:paraId="0EA42C70" w14:textId="77777777" w:rsidR="00595D2C" w:rsidRPr="005E7DD1" w:rsidRDefault="00595D2C" w:rsidP="00EA7BF8">
      <w:pPr>
        <w:jc w:val="both"/>
        <w:outlineLvl w:val="0"/>
        <w:rPr>
          <w:rFonts w:asciiTheme="minorHAnsi" w:hAnsiTheme="minorHAnsi" w:cstheme="minorHAnsi"/>
          <w:color w:val="000000" w:themeColor="text1"/>
        </w:rPr>
      </w:pPr>
    </w:p>
    <w:p w14:paraId="51CDB116" w14:textId="665A1D79" w:rsidR="00DE1E77" w:rsidRPr="005E7DD1" w:rsidRDefault="00595D2C" w:rsidP="00EA7BF8">
      <w:pPr>
        <w:jc w:val="both"/>
        <w:rPr>
          <w:rFonts w:asciiTheme="minorHAnsi" w:hAnsiTheme="minorHAnsi" w:cstheme="minorHAnsi"/>
          <w:color w:val="000000" w:themeColor="text1"/>
        </w:rPr>
      </w:pPr>
      <w:r w:rsidRPr="005E7DD1">
        <w:rPr>
          <w:rFonts w:asciiTheme="minorHAnsi" w:hAnsiTheme="minorHAnsi" w:cstheme="minorHAnsi"/>
          <w:b/>
        </w:rPr>
        <w:lastRenderedPageBreak/>
        <w:t>Rationale</w:t>
      </w:r>
      <w:r w:rsidR="00AA18A0">
        <w:rPr>
          <w:rFonts w:asciiTheme="minorHAnsi" w:hAnsiTheme="minorHAnsi" w:cstheme="minorHAnsi"/>
          <w:b/>
        </w:rPr>
        <w:t xml:space="preserve"> &amp; Points</w:t>
      </w:r>
      <w:r w:rsidRPr="005E7DD1">
        <w:rPr>
          <w:rFonts w:asciiTheme="minorHAnsi" w:hAnsiTheme="minorHAnsi" w:cstheme="minorHAnsi"/>
          <w:b/>
        </w:rPr>
        <w:t xml:space="preserve">: </w:t>
      </w:r>
      <w:r w:rsidR="00DE1E77" w:rsidRPr="005E7DD1">
        <w:rPr>
          <w:rFonts w:asciiTheme="minorHAnsi" w:hAnsiTheme="minorHAnsi" w:cstheme="minorHAnsi"/>
          <w:color w:val="000000" w:themeColor="text1"/>
        </w:rPr>
        <w:t>Public perception of the risk</w:t>
      </w:r>
      <w:r w:rsidR="008603BA">
        <w:rPr>
          <w:rFonts w:asciiTheme="minorHAnsi" w:hAnsiTheme="minorHAnsi" w:cstheme="minorHAnsi"/>
          <w:color w:val="000000" w:themeColor="text1"/>
        </w:rPr>
        <w:t>s</w:t>
      </w:r>
      <w:r w:rsidR="00DE1E77" w:rsidRPr="005E7DD1">
        <w:rPr>
          <w:rFonts w:asciiTheme="minorHAnsi" w:hAnsiTheme="minorHAnsi" w:cstheme="minorHAnsi"/>
          <w:color w:val="000000" w:themeColor="text1"/>
        </w:rPr>
        <w:t xml:space="preserve"> of cannabis consumption ha</w:t>
      </w:r>
      <w:r w:rsidR="0087429D">
        <w:rPr>
          <w:rFonts w:asciiTheme="minorHAnsi" w:hAnsiTheme="minorHAnsi" w:cstheme="minorHAnsi"/>
          <w:color w:val="000000" w:themeColor="text1"/>
        </w:rPr>
        <w:t>s</w:t>
      </w:r>
      <w:r w:rsidR="00DE1E77" w:rsidRPr="005E7DD1">
        <w:rPr>
          <w:rFonts w:asciiTheme="minorHAnsi" w:hAnsiTheme="minorHAnsi" w:cstheme="minorHAnsi"/>
          <w:color w:val="000000" w:themeColor="text1"/>
        </w:rPr>
        <w:t xml:space="preserve"> fallen dramatically from 58.3% to 31.1% of youth nationally between 2000 and 2016</w:t>
      </w:r>
      <w:r w:rsidR="00A857C4">
        <w:rPr>
          <w:rFonts w:asciiTheme="minorHAnsi" w:hAnsiTheme="minorHAnsi" w:cstheme="minorHAnsi"/>
          <w:color w:val="000000" w:themeColor="text1"/>
        </w:rPr>
        <w:t>, even as the composition of cannabis products has grown more dangerous</w:t>
      </w:r>
      <w:r w:rsidR="00DE1E77" w:rsidRPr="005E7DD1">
        <w:rPr>
          <w:rFonts w:asciiTheme="minorHAnsi" w:hAnsiTheme="minorHAnsi" w:cstheme="minorHAnsi"/>
          <w:color w:val="000000" w:themeColor="text1"/>
        </w:rPr>
        <w:t>.</w:t>
      </w:r>
      <w:r w:rsidR="00DE1E77" w:rsidRPr="005E7DD1">
        <w:rPr>
          <w:rStyle w:val="FootnoteReference"/>
          <w:rFonts w:asciiTheme="minorHAnsi" w:hAnsiTheme="minorHAnsi" w:cstheme="minorHAnsi"/>
          <w:color w:val="000000" w:themeColor="text1"/>
        </w:rPr>
        <w:footnoteReference w:id="23"/>
      </w:r>
      <w:r w:rsidR="00DE1E77" w:rsidRPr="005E7DD1">
        <w:rPr>
          <w:rFonts w:asciiTheme="minorHAnsi" w:hAnsiTheme="minorHAnsi" w:cstheme="minorHAnsi"/>
          <w:color w:val="000000" w:themeColor="text1"/>
        </w:rPr>
        <w:t xml:space="preserve"> Consumption during pregnancy, for example, has increased,</w:t>
      </w:r>
      <w:r w:rsidR="00DE1E77" w:rsidRPr="005E7DD1">
        <w:rPr>
          <w:rStyle w:val="FootnoteReference"/>
          <w:rFonts w:asciiTheme="minorHAnsi" w:hAnsiTheme="minorHAnsi" w:cstheme="minorHAnsi"/>
          <w:color w:val="000000" w:themeColor="text1"/>
        </w:rPr>
        <w:footnoteReference w:id="24"/>
      </w:r>
      <w:r w:rsidR="00DE1E77" w:rsidRPr="005E7DD1">
        <w:rPr>
          <w:rFonts w:asciiTheme="minorHAnsi" w:hAnsiTheme="minorHAnsi" w:cstheme="minorHAnsi"/>
          <w:color w:val="000000" w:themeColor="text1"/>
        </w:rPr>
        <w:t xml:space="preserve"> and </w:t>
      </w:r>
      <w:r w:rsidR="00A857C4">
        <w:rPr>
          <w:rFonts w:asciiTheme="minorHAnsi" w:hAnsiTheme="minorHAnsi" w:cstheme="minorHAnsi"/>
          <w:color w:val="000000" w:themeColor="text1"/>
        </w:rPr>
        <w:t xml:space="preserve">in one recent study in Colorado with a simulated pregnant woman calling dispensaries </w:t>
      </w:r>
      <w:r w:rsidR="00DE1E77" w:rsidRPr="005E7DD1">
        <w:rPr>
          <w:rFonts w:asciiTheme="minorHAnsi" w:hAnsiTheme="minorHAnsi" w:cstheme="minorHAnsi"/>
          <w:color w:val="000000" w:themeColor="text1"/>
        </w:rPr>
        <w:t xml:space="preserve">nearly </w:t>
      </w:r>
      <w:r w:rsidR="00E203E6" w:rsidRPr="005E7DD1">
        <w:rPr>
          <w:rFonts w:asciiTheme="minorHAnsi" w:hAnsiTheme="minorHAnsi" w:cstheme="minorHAnsi"/>
          <w:color w:val="000000" w:themeColor="text1"/>
        </w:rPr>
        <w:t xml:space="preserve">two-thirds </w:t>
      </w:r>
      <w:r w:rsidR="00A857C4">
        <w:rPr>
          <w:rFonts w:asciiTheme="minorHAnsi" w:hAnsiTheme="minorHAnsi" w:cstheme="minorHAnsi"/>
          <w:color w:val="000000"/>
        </w:rPr>
        <w:t>of</w:t>
      </w:r>
      <w:r w:rsidR="003B6C8F">
        <w:rPr>
          <w:rFonts w:asciiTheme="minorHAnsi" w:hAnsiTheme="minorHAnsi" w:cstheme="minorHAnsi"/>
          <w:color w:val="000000"/>
        </w:rPr>
        <w:t xml:space="preserve"> </w:t>
      </w:r>
      <w:r w:rsidR="00FB0E78">
        <w:rPr>
          <w:rFonts w:asciiTheme="minorHAnsi" w:hAnsiTheme="minorHAnsi" w:cstheme="minorHAnsi"/>
          <w:color w:val="000000"/>
        </w:rPr>
        <w:t xml:space="preserve">dispensary </w:t>
      </w:r>
      <w:r w:rsidR="00DE1E77" w:rsidRPr="005E7DD1">
        <w:rPr>
          <w:rFonts w:asciiTheme="minorHAnsi" w:hAnsiTheme="minorHAnsi" w:cstheme="minorHAnsi"/>
          <w:color w:val="000000"/>
        </w:rPr>
        <w:t xml:space="preserve">budtenders </w:t>
      </w:r>
      <w:r w:rsidR="00A857C4">
        <w:rPr>
          <w:rFonts w:asciiTheme="minorHAnsi" w:hAnsiTheme="minorHAnsi" w:cstheme="minorHAnsi"/>
          <w:color w:val="000000"/>
        </w:rPr>
        <w:t>recommended</w:t>
      </w:r>
      <w:r w:rsidR="00DE1E77" w:rsidRPr="005E7DD1">
        <w:rPr>
          <w:rFonts w:asciiTheme="minorHAnsi" w:hAnsiTheme="minorHAnsi" w:cstheme="minorHAnsi"/>
          <w:color w:val="000000"/>
        </w:rPr>
        <w:t xml:space="preserve"> cannabis to treat morning sickness.</w:t>
      </w:r>
      <w:r w:rsidR="00DE1E77" w:rsidRPr="005E7DD1">
        <w:rPr>
          <w:rStyle w:val="FootnoteReference"/>
          <w:rFonts w:asciiTheme="minorHAnsi" w:hAnsiTheme="minorHAnsi" w:cstheme="minorHAnsi"/>
          <w:color w:val="000000"/>
        </w:rPr>
        <w:footnoteReference w:id="25"/>
      </w:r>
      <w:r w:rsidR="007A6306">
        <w:rPr>
          <w:rFonts w:asciiTheme="minorHAnsi" w:hAnsiTheme="minorHAnsi" w:cstheme="minorHAnsi"/>
          <w:color w:val="000000"/>
        </w:rPr>
        <w:t xml:space="preserve"> </w:t>
      </w:r>
      <w:r w:rsidR="00DE1E77" w:rsidRPr="005E7DD1">
        <w:rPr>
          <w:rFonts w:asciiTheme="minorHAnsi" w:hAnsiTheme="minorHAnsi" w:cstheme="minorHAnsi"/>
          <w:color w:val="000000" w:themeColor="text1"/>
        </w:rPr>
        <w:t xml:space="preserve">It is therefore extremely important that retailers be obligated to </w:t>
      </w:r>
      <w:r w:rsidR="00FB0E78">
        <w:rPr>
          <w:rFonts w:asciiTheme="minorHAnsi" w:hAnsiTheme="minorHAnsi" w:cstheme="minorHAnsi"/>
          <w:color w:val="000000" w:themeColor="text1"/>
        </w:rPr>
        <w:t>provide accurate information to</w:t>
      </w:r>
      <w:r w:rsidR="003B6C8F">
        <w:rPr>
          <w:rFonts w:asciiTheme="minorHAnsi" w:hAnsiTheme="minorHAnsi" w:cstheme="minorHAnsi"/>
          <w:color w:val="000000" w:themeColor="text1"/>
        </w:rPr>
        <w:t xml:space="preserve"> </w:t>
      </w:r>
      <w:r w:rsidR="00DE1E77" w:rsidRPr="005E7DD1">
        <w:rPr>
          <w:rFonts w:asciiTheme="minorHAnsi" w:hAnsiTheme="minorHAnsi" w:cstheme="minorHAnsi"/>
          <w:color w:val="000000" w:themeColor="text1"/>
        </w:rPr>
        <w:t xml:space="preserve">the public of the health risks they may face. </w:t>
      </w:r>
      <w:r w:rsidR="00FB0E78">
        <w:rPr>
          <w:rFonts w:asciiTheme="minorHAnsi" w:hAnsiTheme="minorHAnsi" w:cstheme="minorHAnsi"/>
          <w:color w:val="000000" w:themeColor="text1"/>
        </w:rPr>
        <w:t>A simple</w:t>
      </w:r>
      <w:r w:rsidR="003B6C8F">
        <w:rPr>
          <w:rFonts w:asciiTheme="minorHAnsi" w:hAnsiTheme="minorHAnsi" w:cstheme="minorHAnsi"/>
          <w:color w:val="000000" w:themeColor="text1"/>
        </w:rPr>
        <w:t xml:space="preserve"> </w:t>
      </w:r>
      <w:r w:rsidR="00DE1E77" w:rsidRPr="005E7DD1">
        <w:rPr>
          <w:rFonts w:asciiTheme="minorHAnsi" w:hAnsiTheme="minorHAnsi" w:cstheme="minorHAnsi"/>
          <w:color w:val="000000" w:themeColor="text1"/>
        </w:rPr>
        <w:t xml:space="preserve">and </w:t>
      </w:r>
      <w:proofErr w:type="gramStart"/>
      <w:r w:rsidR="00DE1E77" w:rsidRPr="005E7DD1">
        <w:rPr>
          <w:rFonts w:asciiTheme="minorHAnsi" w:hAnsiTheme="minorHAnsi" w:cstheme="minorHAnsi"/>
          <w:color w:val="000000" w:themeColor="text1"/>
        </w:rPr>
        <w:t>low cost</w:t>
      </w:r>
      <w:proofErr w:type="gramEnd"/>
      <w:r w:rsidR="00DE1E77" w:rsidRPr="005E7DD1">
        <w:rPr>
          <w:rFonts w:asciiTheme="minorHAnsi" w:hAnsiTheme="minorHAnsi" w:cstheme="minorHAnsi"/>
          <w:color w:val="000000" w:themeColor="text1"/>
        </w:rPr>
        <w:t xml:space="preserve"> way to do this is through prominent point-of sale information to consumers. The tobacco and alcohol industry have long invested heavily in point of sale advertising, and that effectiveness is the same reason we must use it to inform consumers. In this way we can provide a basic public health message to every consumer who enters a retail outlet with little or no ongoing cost.</w:t>
      </w:r>
      <w:r w:rsidR="003B6C8F">
        <w:rPr>
          <w:rFonts w:asciiTheme="minorHAnsi" w:hAnsiTheme="minorHAnsi" w:cstheme="minorHAnsi"/>
          <w:color w:val="000000" w:themeColor="text1"/>
        </w:rPr>
        <w:t xml:space="preserve"> </w:t>
      </w:r>
      <w:r w:rsidR="00FB0E78">
        <w:rPr>
          <w:rFonts w:asciiTheme="minorHAnsi" w:hAnsiTheme="minorHAnsi" w:cstheme="minorHAnsi"/>
          <w:color w:val="000000" w:themeColor="text1"/>
        </w:rPr>
        <w:t>An alternative and one needed for delivery, is to hand the same warnings to all consumers.</w:t>
      </w:r>
      <w:r w:rsidR="003B6C8F">
        <w:rPr>
          <w:rFonts w:asciiTheme="minorHAnsi" w:hAnsiTheme="minorHAnsi" w:cstheme="minorHAnsi"/>
          <w:color w:val="000000" w:themeColor="text1"/>
        </w:rPr>
        <w:t xml:space="preserve"> </w:t>
      </w:r>
      <w:r w:rsidR="00DE1E77" w:rsidRPr="005E7DD1">
        <w:rPr>
          <w:rFonts w:asciiTheme="minorHAnsi" w:hAnsiTheme="minorHAnsi" w:cstheme="minorHAnsi"/>
          <w:color w:val="000000" w:themeColor="text1"/>
        </w:rPr>
        <w:t>A local jurisdiction that includes one or more of these types of health warnings</w:t>
      </w:r>
      <w:r w:rsidR="007A6306">
        <w:rPr>
          <w:rFonts w:asciiTheme="minorHAnsi" w:hAnsiTheme="minorHAnsi" w:cstheme="minorHAnsi"/>
          <w:color w:val="000000" w:themeColor="text1"/>
        </w:rPr>
        <w:t xml:space="preserve"> </w:t>
      </w:r>
      <w:r w:rsidR="00DE1E77" w:rsidRPr="005E7DD1">
        <w:rPr>
          <w:rFonts w:asciiTheme="minorHAnsi" w:hAnsiTheme="minorHAnsi" w:cstheme="minorHAnsi"/>
          <w:color w:val="000000" w:themeColor="text1"/>
        </w:rPr>
        <w:t xml:space="preserve">(beyond the minimum required by state law) will be awarded 4 points for required posting, and 4 points for required handing out of information to consumers. </w:t>
      </w:r>
    </w:p>
    <w:p w14:paraId="1C719231" w14:textId="77777777" w:rsidR="00AA18A0" w:rsidRPr="005E7DD1" w:rsidRDefault="00AA18A0" w:rsidP="00DE1E77">
      <w:pPr>
        <w:outlineLvl w:val="0"/>
        <w:rPr>
          <w:rFonts w:asciiTheme="minorHAnsi" w:hAnsiTheme="minorHAnsi" w:cstheme="minorHAnsi"/>
        </w:rPr>
      </w:pPr>
    </w:p>
    <w:p w14:paraId="32E5D76C" w14:textId="5C554C4E" w:rsidR="00DE1E77" w:rsidRPr="00EA7BF8" w:rsidRDefault="00595D2C" w:rsidP="00DE1E77">
      <w:pPr>
        <w:rPr>
          <w:rFonts w:asciiTheme="minorHAnsi" w:hAnsiTheme="minorHAnsi" w:cstheme="minorHAnsi"/>
          <w:b/>
          <w:color w:val="4472C4" w:themeColor="accent1"/>
        </w:rPr>
      </w:pPr>
      <w:r w:rsidRPr="00EA7BF8">
        <w:rPr>
          <w:rFonts w:asciiTheme="minorHAnsi" w:hAnsiTheme="minorHAnsi" w:cstheme="minorHAnsi"/>
          <w:b/>
          <w:color w:val="4472C4" w:themeColor="accent1"/>
        </w:rPr>
        <w:t>CATEGORY TWO: TAXES AND PRICES</w:t>
      </w:r>
    </w:p>
    <w:p w14:paraId="1C6917FC" w14:textId="11ED5BD4" w:rsidR="00461477" w:rsidRPr="005E7DD1" w:rsidRDefault="00461477" w:rsidP="00EA7BF8">
      <w:pPr>
        <w:jc w:val="both"/>
        <w:rPr>
          <w:rFonts w:asciiTheme="minorHAnsi" w:hAnsiTheme="minorHAnsi" w:cstheme="minorHAnsi"/>
          <w:kern w:val="16"/>
        </w:rPr>
      </w:pPr>
      <w:r w:rsidRPr="005E7DD1">
        <w:rPr>
          <w:rFonts w:asciiTheme="minorHAnsi" w:hAnsiTheme="minorHAnsi" w:cstheme="minorHAnsi"/>
          <w:kern w:val="16"/>
        </w:rPr>
        <w:t xml:space="preserve">Research demonstrates that youth are particularly price sensitive and responsive to changes in price and low prices are known to facilitate use of tobacco by </w:t>
      </w:r>
      <w:r w:rsidR="00FB0E78">
        <w:rPr>
          <w:rFonts w:asciiTheme="minorHAnsi" w:hAnsiTheme="minorHAnsi" w:cstheme="minorHAnsi"/>
          <w:kern w:val="16"/>
        </w:rPr>
        <w:t xml:space="preserve">underage </w:t>
      </w:r>
      <w:r w:rsidRPr="005E7DD1">
        <w:rPr>
          <w:rFonts w:asciiTheme="minorHAnsi" w:hAnsiTheme="minorHAnsi" w:cstheme="minorHAnsi"/>
          <w:kern w:val="16"/>
        </w:rPr>
        <w:t>minors.</w:t>
      </w:r>
      <w:r w:rsidR="007A6306">
        <w:rPr>
          <w:rFonts w:asciiTheme="minorHAnsi" w:hAnsiTheme="minorHAnsi" w:cstheme="minorHAnsi"/>
          <w:kern w:val="16"/>
        </w:rPr>
        <w:t xml:space="preserve"> </w:t>
      </w:r>
      <w:r w:rsidRPr="005E7DD1">
        <w:rPr>
          <w:rFonts w:asciiTheme="minorHAnsi" w:hAnsiTheme="minorHAnsi" w:cstheme="minorHAnsi"/>
          <w:kern w:val="16"/>
        </w:rPr>
        <w:t>When cigarettes cost more, fewer adolescents start smoking</w:t>
      </w:r>
      <w:r w:rsidR="006B79BA">
        <w:rPr>
          <w:rStyle w:val="FootnoteReference"/>
          <w:rFonts w:asciiTheme="minorHAnsi" w:hAnsiTheme="minorHAnsi" w:cstheme="minorHAnsi"/>
          <w:kern w:val="16"/>
        </w:rPr>
        <w:footnoteReference w:id="26"/>
      </w:r>
      <w:r w:rsidRPr="005E7DD1">
        <w:rPr>
          <w:rFonts w:asciiTheme="minorHAnsi" w:hAnsiTheme="minorHAnsi" w:cstheme="minorHAnsi"/>
          <w:kern w:val="16"/>
        </w:rPr>
        <w:t xml:space="preserve"> and similar findings are expected for cannabis.</w:t>
      </w:r>
      <w:r w:rsidR="007A6306">
        <w:rPr>
          <w:rFonts w:asciiTheme="minorHAnsi" w:hAnsiTheme="minorHAnsi" w:cstheme="minorHAnsi"/>
          <w:kern w:val="16"/>
        </w:rPr>
        <w:t xml:space="preserve"> </w:t>
      </w:r>
      <w:r w:rsidR="00EC0DF1">
        <w:rPr>
          <w:rFonts w:asciiTheme="minorHAnsi" w:hAnsiTheme="minorHAnsi" w:cstheme="minorHAnsi"/>
          <w:kern w:val="16"/>
        </w:rPr>
        <w:t>In a recent report by the California Legislative Analyst’s Office, the LAO noted that higher taxes on cannabis products are likely to reduce youth use, even without completely eradicating the illicit market.</w:t>
      </w:r>
      <w:r w:rsidR="00EC0DF1">
        <w:rPr>
          <w:rStyle w:val="FootnoteReference"/>
          <w:rFonts w:asciiTheme="minorHAnsi" w:hAnsiTheme="minorHAnsi" w:cstheme="minorHAnsi"/>
          <w:kern w:val="16"/>
        </w:rPr>
        <w:footnoteReference w:id="27"/>
      </w:r>
      <w:r w:rsidR="00EC0DF1">
        <w:rPr>
          <w:rFonts w:asciiTheme="minorHAnsi" w:hAnsiTheme="minorHAnsi" w:cstheme="minorHAnsi"/>
          <w:kern w:val="16"/>
        </w:rPr>
        <w:t xml:space="preserve"> </w:t>
      </w:r>
      <w:r w:rsidRPr="005E7DD1">
        <w:rPr>
          <w:rFonts w:asciiTheme="minorHAnsi" w:hAnsiTheme="minorHAnsi" w:cstheme="minorHAnsi"/>
          <w:kern w:val="16"/>
        </w:rPr>
        <w:t xml:space="preserve">Local taxes on cannabis businesses and products can be used to both make cannabis products less price attractive to youth while also raising valuable revenue for local communities. Programs funded by cannabis taxes can help to prevent excessive use of cannabis, opiate addiction and other substance </w:t>
      </w:r>
      <w:r w:rsidR="0087429D">
        <w:rPr>
          <w:rFonts w:asciiTheme="minorHAnsi" w:hAnsiTheme="minorHAnsi" w:cstheme="minorHAnsi"/>
          <w:kern w:val="16"/>
        </w:rPr>
        <w:t>ab</w:t>
      </w:r>
      <w:r w:rsidRPr="005E7DD1">
        <w:rPr>
          <w:rFonts w:asciiTheme="minorHAnsi" w:hAnsiTheme="minorHAnsi" w:cstheme="minorHAnsi"/>
          <w:kern w:val="16"/>
        </w:rPr>
        <w:t>use, prevent the leading causes of illness, injury and premature death, promote wellness and more equitable health conditions and reduced incarceration rates in our community.</w:t>
      </w:r>
      <w:r w:rsidR="007A6306">
        <w:rPr>
          <w:rFonts w:asciiTheme="minorHAnsi" w:hAnsiTheme="minorHAnsi" w:cstheme="minorHAnsi"/>
          <w:kern w:val="16"/>
        </w:rPr>
        <w:t xml:space="preserve"> </w:t>
      </w:r>
    </w:p>
    <w:p w14:paraId="389C82B8" w14:textId="674F9DC4" w:rsidR="00461477" w:rsidRPr="005E7DD1" w:rsidRDefault="00461477" w:rsidP="00EA7BF8">
      <w:pPr>
        <w:jc w:val="both"/>
        <w:rPr>
          <w:rFonts w:asciiTheme="minorHAnsi" w:hAnsiTheme="minorHAnsi" w:cstheme="minorHAnsi"/>
          <w:kern w:val="16"/>
        </w:rPr>
      </w:pPr>
    </w:p>
    <w:p w14:paraId="4D37A704" w14:textId="5B25C171" w:rsidR="00461477" w:rsidRDefault="00461477" w:rsidP="00D04FF4">
      <w:pPr>
        <w:jc w:val="both"/>
        <w:rPr>
          <w:rFonts w:asciiTheme="minorHAnsi" w:hAnsiTheme="minorHAnsi" w:cstheme="minorHAnsi"/>
          <w:kern w:val="16"/>
        </w:rPr>
      </w:pPr>
      <w:r w:rsidRPr="005E7DD1">
        <w:rPr>
          <w:rFonts w:asciiTheme="minorHAnsi" w:hAnsiTheme="minorHAnsi" w:cstheme="minorHAnsi"/>
          <w:kern w:val="16"/>
        </w:rPr>
        <w:t>The category of taxes and prices is subdivided into five sub-categories: 1) Local Cannabis Tax, 2) Dedicated Tax Revenue, 3)</w:t>
      </w:r>
      <w:r w:rsidR="007A6306">
        <w:rPr>
          <w:rFonts w:asciiTheme="minorHAnsi" w:hAnsiTheme="minorHAnsi" w:cstheme="minorHAnsi"/>
          <w:kern w:val="16"/>
        </w:rPr>
        <w:t xml:space="preserve"> </w:t>
      </w:r>
      <w:r w:rsidRPr="005E7DD1">
        <w:rPr>
          <w:rFonts w:asciiTheme="minorHAnsi" w:hAnsiTheme="minorHAnsi" w:cstheme="minorHAnsi"/>
          <w:kern w:val="16"/>
        </w:rPr>
        <w:t xml:space="preserve">Tax on High-Potency Products, 4) Ban on Discounting, and 5) Mandated Minimum Price. </w:t>
      </w:r>
    </w:p>
    <w:p w14:paraId="6DF8A844" w14:textId="77777777" w:rsidR="00D55F03" w:rsidRPr="005E7DD1" w:rsidRDefault="00D55F03" w:rsidP="00461477">
      <w:pPr>
        <w:rPr>
          <w:rFonts w:asciiTheme="minorHAnsi" w:hAnsiTheme="minorHAnsi" w:cstheme="minorHAnsi"/>
          <w:kern w:val="16"/>
        </w:rPr>
      </w:pPr>
    </w:p>
    <w:p w14:paraId="2B740178" w14:textId="6B0F35F8" w:rsidR="00461477" w:rsidRPr="00EA7BF8" w:rsidRDefault="00461477" w:rsidP="00DE1E77">
      <w:pPr>
        <w:rPr>
          <w:rFonts w:asciiTheme="minorHAnsi" w:hAnsiTheme="minorHAnsi" w:cstheme="minorHAnsi"/>
          <w:color w:val="4472C4" w:themeColor="accent1"/>
          <w:kern w:val="16"/>
        </w:rPr>
      </w:pPr>
      <w:r w:rsidRPr="00EA7BF8">
        <w:rPr>
          <w:rFonts w:asciiTheme="minorHAnsi" w:hAnsiTheme="minorHAnsi" w:cstheme="minorHAnsi"/>
          <w:b/>
          <w:color w:val="4472C4" w:themeColor="accent1"/>
        </w:rPr>
        <w:t>Local Cannabis Tax (6 points)</w:t>
      </w:r>
    </w:p>
    <w:p w14:paraId="36862499" w14:textId="196B7B9D" w:rsidR="00DE1E77" w:rsidRPr="005E7DD1" w:rsidRDefault="00461477" w:rsidP="00EA7BF8">
      <w:pPr>
        <w:jc w:val="both"/>
        <w:rPr>
          <w:rFonts w:asciiTheme="minorHAnsi" w:hAnsiTheme="minorHAnsi" w:cstheme="minorHAnsi"/>
          <w:kern w:val="16"/>
        </w:rPr>
      </w:pPr>
      <w:r w:rsidRPr="005E7DD1">
        <w:rPr>
          <w:rFonts w:asciiTheme="minorHAnsi" w:hAnsiTheme="minorHAnsi" w:cstheme="minorHAnsi"/>
          <w:b/>
          <w:kern w:val="16"/>
        </w:rPr>
        <w:lastRenderedPageBreak/>
        <w:t>Description</w:t>
      </w:r>
      <w:r w:rsidRPr="005E7DD1">
        <w:rPr>
          <w:rFonts w:asciiTheme="minorHAnsi" w:hAnsiTheme="minorHAnsi" w:cstheme="minorHAnsi"/>
          <w:kern w:val="16"/>
        </w:rPr>
        <w:t>: Local jurisdictions have the authority to impose cannabis business taxes at all levels of business including retail, manufacturing, cultivation, testing, distribution and delivery.</w:t>
      </w:r>
      <w:r w:rsidR="007A6306">
        <w:rPr>
          <w:rFonts w:asciiTheme="minorHAnsi" w:hAnsiTheme="minorHAnsi" w:cstheme="minorHAnsi"/>
          <w:kern w:val="16"/>
        </w:rPr>
        <w:t xml:space="preserve"> </w:t>
      </w:r>
    </w:p>
    <w:p w14:paraId="4D3B9222" w14:textId="01620E67" w:rsidR="00461477" w:rsidRPr="005E7DD1" w:rsidRDefault="00461477" w:rsidP="00EA7BF8">
      <w:pPr>
        <w:jc w:val="both"/>
        <w:rPr>
          <w:rFonts w:asciiTheme="minorHAnsi" w:hAnsiTheme="minorHAnsi" w:cstheme="minorHAnsi"/>
          <w:kern w:val="16"/>
        </w:rPr>
      </w:pPr>
    </w:p>
    <w:p w14:paraId="29CF446F" w14:textId="56F4385B" w:rsidR="00461477" w:rsidRPr="007A6306" w:rsidRDefault="00461477" w:rsidP="00EA7BF8">
      <w:pPr>
        <w:jc w:val="both"/>
        <w:rPr>
          <w:rFonts w:asciiTheme="minorHAnsi" w:hAnsiTheme="minorHAnsi" w:cstheme="minorHAnsi"/>
        </w:rPr>
      </w:pPr>
      <w:r w:rsidRPr="005E7DD1">
        <w:rPr>
          <w:rFonts w:asciiTheme="minorHAnsi" w:hAnsiTheme="minorHAnsi" w:cstheme="minorHAnsi"/>
          <w:b/>
          <w:kern w:val="16"/>
        </w:rPr>
        <w:t>State Law:</w:t>
      </w:r>
      <w:r w:rsidRPr="005E7DD1">
        <w:rPr>
          <w:rFonts w:asciiTheme="minorHAnsi" w:hAnsiTheme="minorHAnsi" w:cstheme="minorHAnsi"/>
          <w:kern w:val="16"/>
        </w:rPr>
        <w:t xml:space="preserve"> State law imposes a 15% cannabis excise tax on purchasers of cannabis products</w:t>
      </w:r>
      <w:r w:rsidRPr="005E7DD1">
        <w:rPr>
          <w:rStyle w:val="FootnoteReference"/>
          <w:rFonts w:asciiTheme="minorHAnsi" w:hAnsiTheme="minorHAnsi" w:cstheme="minorHAnsi"/>
          <w:kern w:val="16"/>
        </w:rPr>
        <w:footnoteReference w:id="28"/>
      </w:r>
      <w:r w:rsidRPr="005E7DD1">
        <w:rPr>
          <w:rFonts w:asciiTheme="minorHAnsi" w:hAnsiTheme="minorHAnsi" w:cstheme="minorHAnsi"/>
          <w:kern w:val="16"/>
        </w:rPr>
        <w:t xml:space="preserve"> as well as a tax on harvested cannabis flower and leaves.</w:t>
      </w:r>
      <w:r w:rsidRPr="005E7DD1">
        <w:rPr>
          <w:rStyle w:val="FootnoteReference"/>
          <w:rFonts w:asciiTheme="minorHAnsi" w:hAnsiTheme="minorHAnsi" w:cstheme="minorHAnsi"/>
          <w:kern w:val="16"/>
        </w:rPr>
        <w:footnoteReference w:id="29"/>
      </w:r>
      <w:r w:rsidRPr="005E7DD1">
        <w:rPr>
          <w:rFonts w:asciiTheme="minorHAnsi" w:hAnsiTheme="minorHAnsi" w:cstheme="minorHAnsi"/>
          <w:kern w:val="16"/>
        </w:rPr>
        <w:t xml:space="preserve"> State law also allows a local jurisdiction </w:t>
      </w:r>
      <w:r w:rsidRPr="007A6306">
        <w:rPr>
          <w:rFonts w:asciiTheme="minorHAnsi" w:hAnsiTheme="minorHAnsi" w:cstheme="minorHAnsi"/>
          <w:kern w:val="16"/>
        </w:rPr>
        <w:t>to “i</w:t>
      </w:r>
      <w:r w:rsidRPr="007A6306">
        <w:rPr>
          <w:rFonts w:asciiTheme="minorHAnsi" w:hAnsiTheme="minorHAnsi" w:cstheme="minorHAnsi"/>
          <w:shd w:val="clear" w:color="auto" w:fill="FFFFFF"/>
        </w:rPr>
        <w:t>mpose a tax on the privilege of cultivating, manufacturing, producing, processing, preparing, storing, providing, donating, selling, or distributing cannabis or cannabis products by a licensee.”</w:t>
      </w:r>
      <w:r w:rsidRPr="007A6306">
        <w:rPr>
          <w:rStyle w:val="FootnoteReference"/>
          <w:rFonts w:asciiTheme="minorHAnsi" w:hAnsiTheme="minorHAnsi" w:cstheme="minorHAnsi"/>
          <w:shd w:val="clear" w:color="auto" w:fill="FFFFFF"/>
        </w:rPr>
        <w:footnoteReference w:id="30"/>
      </w:r>
      <w:r w:rsidRPr="007A6306">
        <w:rPr>
          <w:rFonts w:asciiTheme="minorHAnsi" w:hAnsiTheme="minorHAnsi" w:cstheme="minorHAnsi"/>
          <w:shd w:val="clear" w:color="auto" w:fill="FFFFFF"/>
        </w:rPr>
        <w:t> </w:t>
      </w:r>
      <w:r w:rsidR="0087429D">
        <w:rPr>
          <w:rFonts w:asciiTheme="minorHAnsi" w:hAnsiTheme="minorHAnsi" w:cstheme="minorHAnsi"/>
          <w:shd w:val="clear" w:color="auto" w:fill="FFFFFF"/>
        </w:rPr>
        <w:t>Score: 6.</w:t>
      </w:r>
    </w:p>
    <w:p w14:paraId="5336DDAB" w14:textId="5D8300CE" w:rsidR="00DE1E77" w:rsidRPr="007A6306" w:rsidRDefault="00DE1E77" w:rsidP="00EA7BF8">
      <w:pPr>
        <w:jc w:val="both"/>
        <w:rPr>
          <w:rFonts w:asciiTheme="minorHAnsi" w:hAnsiTheme="minorHAnsi" w:cstheme="minorHAnsi"/>
          <w:b/>
        </w:rPr>
      </w:pPr>
    </w:p>
    <w:p w14:paraId="5CA80E50" w14:textId="770CB421" w:rsidR="00C561B0" w:rsidRPr="007A6306" w:rsidRDefault="00C561B0" w:rsidP="00EA7BF8">
      <w:pPr>
        <w:jc w:val="both"/>
        <w:rPr>
          <w:rFonts w:asciiTheme="minorHAnsi" w:hAnsiTheme="minorHAnsi" w:cstheme="minorHAnsi"/>
        </w:rPr>
      </w:pPr>
      <w:r w:rsidRPr="007A6306">
        <w:rPr>
          <w:rFonts w:asciiTheme="minorHAnsi" w:hAnsiTheme="minorHAnsi" w:cstheme="minorHAnsi"/>
          <w:b/>
        </w:rPr>
        <w:t>Rationale</w:t>
      </w:r>
      <w:r w:rsidR="00AA18A0" w:rsidRPr="007A6306">
        <w:rPr>
          <w:rFonts w:asciiTheme="minorHAnsi" w:hAnsiTheme="minorHAnsi" w:cstheme="minorHAnsi"/>
          <w:b/>
        </w:rPr>
        <w:t xml:space="preserve"> &amp; Points</w:t>
      </w:r>
      <w:r w:rsidRPr="007A6306">
        <w:rPr>
          <w:rFonts w:asciiTheme="minorHAnsi" w:hAnsiTheme="minorHAnsi" w:cstheme="minorHAnsi"/>
          <w:b/>
        </w:rPr>
        <w:t xml:space="preserve">: </w:t>
      </w:r>
      <w:r w:rsidRPr="007A6306">
        <w:rPr>
          <w:rFonts w:asciiTheme="minorHAnsi" w:hAnsiTheme="minorHAnsi" w:cstheme="minorHAnsi"/>
          <w:shd w:val="clear" w:color="auto" w:fill="FFFFFF"/>
        </w:rPr>
        <w:t>By imposing a local tax on cannabis businesses, a local jurisdiction can better control pricing of products as well as ensur</w:t>
      </w:r>
      <w:r w:rsidR="0087429D">
        <w:rPr>
          <w:rFonts w:asciiTheme="minorHAnsi" w:hAnsiTheme="minorHAnsi" w:cstheme="minorHAnsi"/>
          <w:shd w:val="clear" w:color="auto" w:fill="FFFFFF"/>
        </w:rPr>
        <w:t>e</w:t>
      </w:r>
      <w:r w:rsidRPr="007A6306">
        <w:rPr>
          <w:rFonts w:asciiTheme="minorHAnsi" w:hAnsiTheme="minorHAnsi" w:cstheme="minorHAnsi"/>
          <w:shd w:val="clear" w:color="auto" w:fill="FFFFFF"/>
        </w:rPr>
        <w:t xml:space="preserve"> that tax revenue is kept and spent locally. </w:t>
      </w:r>
      <w:r w:rsidR="008E36DC" w:rsidRPr="007A6306">
        <w:rPr>
          <w:rFonts w:asciiTheme="minorHAnsi" w:hAnsiTheme="minorHAnsi" w:cstheme="minorHAnsi"/>
          <w:shd w:val="clear" w:color="auto" w:fill="FFFFFF"/>
        </w:rPr>
        <w:t xml:space="preserve">Local taxes may also play a role in decreasing youth </w:t>
      </w:r>
      <w:r w:rsidR="00AA18A0" w:rsidRPr="007A6306">
        <w:rPr>
          <w:rFonts w:asciiTheme="minorHAnsi" w:hAnsiTheme="minorHAnsi" w:cstheme="minorHAnsi"/>
          <w:shd w:val="clear" w:color="auto" w:fill="FFFFFF"/>
        </w:rPr>
        <w:t xml:space="preserve">use by making price-conscious youth less likely to purchase and use cannabis products. </w:t>
      </w:r>
      <w:r w:rsidRPr="007A6306">
        <w:rPr>
          <w:rFonts w:asciiTheme="minorHAnsi" w:hAnsiTheme="minorHAnsi" w:cstheme="minorHAnsi"/>
          <w:shd w:val="clear" w:color="auto" w:fill="FFFFFF"/>
        </w:rPr>
        <w:t xml:space="preserve">A jurisdiction that imposes a cannabis tax on any type of cannabis business or product is awarded six points. </w:t>
      </w:r>
    </w:p>
    <w:p w14:paraId="7834C368" w14:textId="77777777" w:rsidR="00C561B0" w:rsidRPr="005E7DD1" w:rsidRDefault="00C561B0" w:rsidP="00DE1E77">
      <w:pPr>
        <w:rPr>
          <w:rFonts w:asciiTheme="minorHAnsi" w:hAnsiTheme="minorHAnsi" w:cstheme="minorHAnsi"/>
          <w:b/>
          <w:color w:val="0070C0"/>
        </w:rPr>
      </w:pPr>
    </w:p>
    <w:p w14:paraId="7AE2CC06" w14:textId="5AC6041B" w:rsidR="00DE1E77" w:rsidRPr="00EA7BF8" w:rsidRDefault="00DE1E77" w:rsidP="00DE1E77">
      <w:pPr>
        <w:rPr>
          <w:rFonts w:asciiTheme="minorHAnsi" w:hAnsiTheme="minorHAnsi" w:cstheme="minorHAnsi"/>
          <w:b/>
          <w:color w:val="4472C4" w:themeColor="accent1"/>
        </w:rPr>
      </w:pPr>
      <w:r w:rsidRPr="00EA7BF8">
        <w:rPr>
          <w:rFonts w:asciiTheme="minorHAnsi" w:hAnsiTheme="minorHAnsi" w:cstheme="minorHAnsi"/>
          <w:b/>
          <w:color w:val="4472C4" w:themeColor="accent1"/>
        </w:rPr>
        <w:t>Dedicated Tax Revenue (6 points)</w:t>
      </w:r>
    </w:p>
    <w:p w14:paraId="6D8B7051" w14:textId="1A55FB8A" w:rsidR="00612B87" w:rsidRPr="005E7DD1" w:rsidRDefault="00C561B0" w:rsidP="00EA7BF8">
      <w:pPr>
        <w:jc w:val="both"/>
        <w:rPr>
          <w:rFonts w:asciiTheme="minorHAnsi" w:hAnsiTheme="minorHAnsi" w:cstheme="minorHAnsi"/>
          <w:kern w:val="16"/>
        </w:rPr>
      </w:pPr>
      <w:r w:rsidRPr="005E7DD1">
        <w:rPr>
          <w:rFonts w:asciiTheme="minorHAnsi" w:hAnsiTheme="minorHAnsi" w:cstheme="minorHAnsi"/>
          <w:b/>
          <w:color w:val="000000" w:themeColor="text1"/>
        </w:rPr>
        <w:t>Description:</w:t>
      </w:r>
      <w:r w:rsidR="00612B87" w:rsidRPr="005E7DD1">
        <w:rPr>
          <w:rFonts w:asciiTheme="minorHAnsi" w:hAnsiTheme="minorHAnsi" w:cstheme="minorHAnsi"/>
          <w:b/>
          <w:color w:val="000000" w:themeColor="text1"/>
        </w:rPr>
        <w:t xml:space="preserve"> </w:t>
      </w:r>
      <w:r w:rsidR="00DE1E77" w:rsidRPr="005E7DD1">
        <w:rPr>
          <w:rFonts w:asciiTheme="minorHAnsi" w:hAnsiTheme="minorHAnsi" w:cstheme="minorHAnsi"/>
          <w:kern w:val="16"/>
        </w:rPr>
        <w:t xml:space="preserve">Cannabis-related tax revenue should be reinvested in communities at greatest risk of substance abuse and poor health outcomes. </w:t>
      </w:r>
      <w:r w:rsidR="00683A63" w:rsidRPr="005E7DD1">
        <w:rPr>
          <w:rFonts w:asciiTheme="minorHAnsi" w:hAnsiTheme="minorHAnsi" w:cstheme="minorHAnsi"/>
          <w:kern w:val="16"/>
        </w:rPr>
        <w:t xml:space="preserve">The benefits of any tax revenue should also be kept and utilized within those communities that were most negatively impacted by the war on drugs and cannabis-related incarcerations. </w:t>
      </w:r>
      <w:r w:rsidR="005647E3">
        <w:rPr>
          <w:rFonts w:asciiTheme="minorHAnsi" w:hAnsiTheme="minorHAnsi" w:cstheme="minorHAnsi"/>
          <w:kern w:val="16"/>
        </w:rPr>
        <w:t>For example, r</w:t>
      </w:r>
      <w:r w:rsidR="00C71E16">
        <w:rPr>
          <w:rFonts w:asciiTheme="minorHAnsi" w:hAnsiTheme="minorHAnsi" w:cstheme="minorHAnsi"/>
          <w:kern w:val="16"/>
        </w:rPr>
        <w:t>evenues can</w:t>
      </w:r>
      <w:r w:rsidR="005647E3">
        <w:rPr>
          <w:rFonts w:asciiTheme="minorHAnsi" w:hAnsiTheme="minorHAnsi" w:cstheme="minorHAnsi"/>
          <w:kern w:val="16"/>
        </w:rPr>
        <w:t xml:space="preserve"> </w:t>
      </w:r>
      <w:r w:rsidR="00C71E16">
        <w:rPr>
          <w:rFonts w:asciiTheme="minorHAnsi" w:hAnsiTheme="minorHAnsi" w:cstheme="minorHAnsi"/>
          <w:kern w:val="16"/>
        </w:rPr>
        <w:t>be dedicated to substance abuse prevention or youth development.</w:t>
      </w:r>
      <w:r w:rsidR="00F94D7B">
        <w:rPr>
          <w:rFonts w:asciiTheme="minorHAnsi" w:hAnsiTheme="minorHAnsi" w:cstheme="minorHAnsi"/>
          <w:kern w:val="16"/>
        </w:rPr>
        <w:t xml:space="preserve"> </w:t>
      </w:r>
      <w:r w:rsidR="00FB0E78">
        <w:rPr>
          <w:rFonts w:asciiTheme="minorHAnsi" w:hAnsiTheme="minorHAnsi" w:cstheme="minorHAnsi"/>
          <w:kern w:val="16"/>
        </w:rPr>
        <w:t>We recommend that local tax revenue not be used to further expand law enforcement budgets as has occurred widely.</w:t>
      </w:r>
      <w:r w:rsidR="008C70EE">
        <w:rPr>
          <w:rStyle w:val="FootnoteReference"/>
          <w:rFonts w:asciiTheme="minorHAnsi" w:hAnsiTheme="minorHAnsi" w:cstheme="minorHAnsi"/>
          <w:kern w:val="16"/>
        </w:rPr>
        <w:footnoteReference w:id="31"/>
      </w:r>
      <w:r w:rsidR="00FB0E78">
        <w:rPr>
          <w:rFonts w:asciiTheme="minorHAnsi" w:hAnsiTheme="minorHAnsi" w:cstheme="minorHAnsi"/>
          <w:kern w:val="16"/>
        </w:rPr>
        <w:t xml:space="preserve"> </w:t>
      </w:r>
    </w:p>
    <w:p w14:paraId="1C8D34FA" w14:textId="77777777" w:rsidR="00683A63" w:rsidRPr="005E7DD1" w:rsidRDefault="00683A63" w:rsidP="00EA7BF8">
      <w:pPr>
        <w:jc w:val="both"/>
        <w:rPr>
          <w:rFonts w:asciiTheme="minorHAnsi" w:hAnsiTheme="minorHAnsi" w:cstheme="minorHAnsi"/>
          <w:kern w:val="16"/>
        </w:rPr>
      </w:pPr>
    </w:p>
    <w:p w14:paraId="2FBB1AA8" w14:textId="4AF411ED" w:rsidR="00612B87" w:rsidRPr="005E7DD1" w:rsidRDefault="00612B87" w:rsidP="00EA7BF8">
      <w:pPr>
        <w:jc w:val="both"/>
        <w:rPr>
          <w:rFonts w:asciiTheme="minorHAnsi" w:hAnsiTheme="minorHAnsi" w:cstheme="minorHAnsi"/>
          <w:kern w:val="16"/>
        </w:rPr>
      </w:pPr>
      <w:r w:rsidRPr="005E7DD1">
        <w:rPr>
          <w:rFonts w:asciiTheme="minorHAnsi" w:hAnsiTheme="minorHAnsi" w:cstheme="minorHAnsi"/>
          <w:b/>
          <w:kern w:val="16"/>
        </w:rPr>
        <w:t xml:space="preserve">State Law: </w:t>
      </w:r>
      <w:r w:rsidRPr="005E7DD1">
        <w:rPr>
          <w:rFonts w:asciiTheme="minorHAnsi" w:hAnsiTheme="minorHAnsi" w:cstheme="minorHAnsi"/>
          <w:kern w:val="16"/>
        </w:rPr>
        <w:t xml:space="preserve">State law mandates that state cannabis tax revenue go first to pay for reasonable costs associated with implementing the cannabis program. After costs, portions of remaining funds are allotted for university-based public health related research ($10,000,000), highway safety research related to cannabis impairment ($3,000,000), community reinvestments grant program ($10,000,000 progressing to $50,000,000 in 2022-2023), and medical </w:t>
      </w:r>
      <w:r w:rsidR="00F94D7B">
        <w:rPr>
          <w:rFonts w:asciiTheme="minorHAnsi" w:hAnsiTheme="minorHAnsi" w:cstheme="minorHAnsi"/>
          <w:kern w:val="16"/>
        </w:rPr>
        <w:t>cannabis</w:t>
      </w:r>
      <w:r w:rsidRPr="005E7DD1">
        <w:rPr>
          <w:rFonts w:asciiTheme="minorHAnsi" w:hAnsiTheme="minorHAnsi" w:cstheme="minorHAnsi"/>
          <w:kern w:val="16"/>
        </w:rPr>
        <w:t xml:space="preserve"> research ($2,000,000). Of any remaining funds, sixty percent of those remaining funds </w:t>
      </w:r>
      <w:r w:rsidR="00C71E16">
        <w:rPr>
          <w:rFonts w:asciiTheme="minorHAnsi" w:hAnsiTheme="minorHAnsi" w:cstheme="minorHAnsi"/>
          <w:kern w:val="16"/>
        </w:rPr>
        <w:t xml:space="preserve">go </w:t>
      </w:r>
      <w:r w:rsidR="005647E3">
        <w:rPr>
          <w:rFonts w:asciiTheme="minorHAnsi" w:hAnsiTheme="minorHAnsi" w:cstheme="minorHAnsi"/>
          <w:kern w:val="16"/>
        </w:rPr>
        <w:t xml:space="preserve">to </w:t>
      </w:r>
      <w:r w:rsidR="00C71E16">
        <w:rPr>
          <w:rFonts w:asciiTheme="minorHAnsi" w:hAnsiTheme="minorHAnsi" w:cstheme="minorHAnsi"/>
          <w:kern w:val="16"/>
        </w:rPr>
        <w:t>a</w:t>
      </w:r>
      <w:r w:rsidR="00F94D7B">
        <w:rPr>
          <w:rFonts w:asciiTheme="minorHAnsi" w:hAnsiTheme="minorHAnsi" w:cstheme="minorHAnsi"/>
          <w:kern w:val="16"/>
        </w:rPr>
        <w:t xml:space="preserve"> </w:t>
      </w:r>
      <w:r w:rsidR="00C71E16">
        <w:rPr>
          <w:rFonts w:asciiTheme="minorHAnsi" w:hAnsiTheme="minorHAnsi" w:cstheme="minorHAnsi"/>
          <w:kern w:val="16"/>
        </w:rPr>
        <w:t>Y</w:t>
      </w:r>
      <w:r w:rsidRPr="005E7DD1">
        <w:rPr>
          <w:rFonts w:asciiTheme="minorHAnsi" w:hAnsiTheme="minorHAnsi" w:cstheme="minorHAnsi"/>
          <w:kern w:val="16"/>
        </w:rPr>
        <w:t>outh education, prevention, early intervention and treatment</w:t>
      </w:r>
      <w:r w:rsidR="00C71E16">
        <w:rPr>
          <w:rFonts w:asciiTheme="minorHAnsi" w:hAnsiTheme="minorHAnsi" w:cstheme="minorHAnsi"/>
          <w:kern w:val="16"/>
        </w:rPr>
        <w:t xml:space="preserve"> fund</w:t>
      </w:r>
      <w:r w:rsidRPr="005E7DD1">
        <w:rPr>
          <w:rFonts w:asciiTheme="minorHAnsi" w:hAnsiTheme="minorHAnsi" w:cstheme="minorHAnsi"/>
          <w:kern w:val="16"/>
        </w:rPr>
        <w:t>.</w:t>
      </w:r>
      <w:r w:rsidR="00683A63" w:rsidRPr="005E7DD1">
        <w:rPr>
          <w:rStyle w:val="FootnoteReference"/>
          <w:rFonts w:asciiTheme="minorHAnsi" w:hAnsiTheme="minorHAnsi" w:cstheme="minorHAnsi"/>
          <w:kern w:val="16"/>
        </w:rPr>
        <w:footnoteReference w:id="32"/>
      </w:r>
      <w:r w:rsidRPr="005E7DD1">
        <w:rPr>
          <w:rFonts w:asciiTheme="minorHAnsi" w:hAnsiTheme="minorHAnsi" w:cstheme="minorHAnsi"/>
          <w:kern w:val="16"/>
        </w:rPr>
        <w:t xml:space="preserve"> </w:t>
      </w:r>
      <w:r w:rsidR="0087429D">
        <w:rPr>
          <w:rFonts w:asciiTheme="minorHAnsi" w:hAnsiTheme="minorHAnsi" w:cstheme="minorHAnsi"/>
          <w:kern w:val="16"/>
        </w:rPr>
        <w:t>Score: 6.</w:t>
      </w:r>
    </w:p>
    <w:p w14:paraId="44878D2F" w14:textId="1F402C87" w:rsidR="00683A63" w:rsidRPr="00AA18A0" w:rsidRDefault="00683A63" w:rsidP="00EA7BF8">
      <w:pPr>
        <w:jc w:val="both"/>
        <w:rPr>
          <w:rFonts w:asciiTheme="minorHAnsi" w:hAnsiTheme="minorHAnsi" w:cstheme="minorHAnsi"/>
          <w:color w:val="000000" w:themeColor="text1"/>
          <w:kern w:val="16"/>
        </w:rPr>
      </w:pPr>
    </w:p>
    <w:p w14:paraId="7BF8F275" w14:textId="1CC0BDDF" w:rsidR="00683A63" w:rsidRPr="005E7DD1" w:rsidRDefault="00683A63" w:rsidP="00EA7BF8">
      <w:pPr>
        <w:jc w:val="both"/>
        <w:rPr>
          <w:rFonts w:asciiTheme="minorHAnsi" w:hAnsiTheme="minorHAnsi" w:cstheme="minorHAnsi"/>
          <w:kern w:val="16"/>
        </w:rPr>
      </w:pPr>
      <w:r w:rsidRPr="00AA18A0">
        <w:rPr>
          <w:rFonts w:asciiTheme="minorHAnsi" w:hAnsiTheme="minorHAnsi" w:cstheme="minorHAnsi"/>
          <w:b/>
          <w:color w:val="000000" w:themeColor="text1"/>
          <w:kern w:val="16"/>
        </w:rPr>
        <w:t xml:space="preserve">Rationale &amp; Points: </w:t>
      </w:r>
      <w:r w:rsidRPr="005E7DD1">
        <w:rPr>
          <w:rFonts w:asciiTheme="minorHAnsi" w:hAnsiTheme="minorHAnsi" w:cstheme="minorHAnsi"/>
          <w:kern w:val="16"/>
        </w:rPr>
        <w:t>Cannabis businesses may bring economic benefits to a community but not without attendant harms and risks.</w:t>
      </w:r>
      <w:r w:rsidR="007A6306">
        <w:rPr>
          <w:rFonts w:asciiTheme="minorHAnsi" w:hAnsiTheme="minorHAnsi" w:cstheme="minorHAnsi"/>
          <w:kern w:val="16"/>
        </w:rPr>
        <w:t xml:space="preserve"> </w:t>
      </w:r>
      <w:r w:rsidRPr="005E7DD1">
        <w:rPr>
          <w:rFonts w:asciiTheme="minorHAnsi" w:hAnsiTheme="minorHAnsi" w:cstheme="minorHAnsi"/>
          <w:kern w:val="16"/>
        </w:rPr>
        <w:t>Cannabis tax revenue</w:t>
      </w:r>
      <w:r w:rsidR="007A6306">
        <w:rPr>
          <w:rFonts w:asciiTheme="minorHAnsi" w:hAnsiTheme="minorHAnsi" w:cstheme="minorHAnsi"/>
          <w:kern w:val="16"/>
        </w:rPr>
        <w:t xml:space="preserve"> </w:t>
      </w:r>
      <w:r w:rsidRPr="005E7DD1">
        <w:rPr>
          <w:rFonts w:asciiTheme="minorHAnsi" w:hAnsiTheme="minorHAnsi" w:cstheme="minorHAnsi"/>
          <w:kern w:val="16"/>
        </w:rPr>
        <w:t xml:space="preserve">should seek to improve health, reduce social inequity, save health-care and other costs from substance abuse and other preventable illness, injury and premature death, and mitigate other social harms from substance abuse and incarceration. A jurisdiction that enacts a tax ordinance with revenue dedicated to prevention, health, social equity, or other programs that mitigate the negative effects of cannabis </w:t>
      </w:r>
      <w:r w:rsidR="00C71E16">
        <w:rPr>
          <w:rFonts w:asciiTheme="minorHAnsi" w:hAnsiTheme="minorHAnsi" w:cstheme="minorHAnsi"/>
          <w:kern w:val="16"/>
        </w:rPr>
        <w:t>is</w:t>
      </w:r>
      <w:r w:rsidR="00C71E16" w:rsidRPr="005E7DD1">
        <w:rPr>
          <w:rFonts w:asciiTheme="minorHAnsi" w:hAnsiTheme="minorHAnsi" w:cstheme="minorHAnsi"/>
          <w:kern w:val="16"/>
        </w:rPr>
        <w:t xml:space="preserve"> </w:t>
      </w:r>
      <w:r w:rsidRPr="005E7DD1">
        <w:rPr>
          <w:rFonts w:asciiTheme="minorHAnsi" w:hAnsiTheme="minorHAnsi" w:cstheme="minorHAnsi"/>
          <w:kern w:val="16"/>
        </w:rPr>
        <w:t xml:space="preserve">awarded six points. </w:t>
      </w:r>
    </w:p>
    <w:p w14:paraId="2C9CE0B1" w14:textId="77777777" w:rsidR="00612B87" w:rsidRPr="005E7DD1" w:rsidRDefault="00612B87" w:rsidP="00DE1E77">
      <w:pPr>
        <w:rPr>
          <w:rFonts w:asciiTheme="minorHAnsi" w:hAnsiTheme="minorHAnsi" w:cstheme="minorHAnsi"/>
          <w:kern w:val="16"/>
        </w:rPr>
      </w:pPr>
    </w:p>
    <w:p w14:paraId="2422A23D" w14:textId="55CD101B" w:rsidR="00DE1E77" w:rsidRPr="005E7DD1" w:rsidRDefault="00DE1E77" w:rsidP="00DE1E77">
      <w:pPr>
        <w:rPr>
          <w:rFonts w:asciiTheme="minorHAnsi" w:hAnsiTheme="minorHAnsi" w:cstheme="minorHAnsi"/>
          <w:b/>
          <w:color w:val="4472C4" w:themeColor="accent1"/>
        </w:rPr>
      </w:pPr>
      <w:r w:rsidRPr="005E7DD1">
        <w:rPr>
          <w:rFonts w:asciiTheme="minorHAnsi" w:hAnsiTheme="minorHAnsi" w:cstheme="minorHAnsi"/>
          <w:b/>
          <w:color w:val="4472C4" w:themeColor="accent1"/>
        </w:rPr>
        <w:t>Higher Potency Products Tax (</w:t>
      </w:r>
      <w:r w:rsidR="00F02335">
        <w:rPr>
          <w:rFonts w:asciiTheme="minorHAnsi" w:hAnsiTheme="minorHAnsi" w:cstheme="minorHAnsi"/>
          <w:b/>
          <w:color w:val="4472C4" w:themeColor="accent1"/>
        </w:rPr>
        <w:t>4</w:t>
      </w:r>
      <w:r w:rsidRPr="005E7DD1">
        <w:rPr>
          <w:rFonts w:asciiTheme="minorHAnsi" w:hAnsiTheme="minorHAnsi" w:cstheme="minorHAnsi"/>
          <w:b/>
          <w:color w:val="4472C4" w:themeColor="accent1"/>
        </w:rPr>
        <w:t xml:space="preserve"> points)</w:t>
      </w:r>
    </w:p>
    <w:p w14:paraId="247CAB4B" w14:textId="67A8DDFF" w:rsidR="00683A63" w:rsidRPr="005E7DD1" w:rsidRDefault="00683A63" w:rsidP="00EA7BF8">
      <w:pPr>
        <w:jc w:val="both"/>
        <w:rPr>
          <w:rFonts w:asciiTheme="minorHAnsi" w:hAnsiTheme="minorHAnsi" w:cstheme="minorHAnsi"/>
          <w:kern w:val="16"/>
        </w:rPr>
      </w:pPr>
      <w:r w:rsidRPr="005E7DD1">
        <w:rPr>
          <w:rFonts w:asciiTheme="minorHAnsi" w:hAnsiTheme="minorHAnsi" w:cstheme="minorHAnsi"/>
          <w:b/>
          <w:kern w:val="16"/>
        </w:rPr>
        <w:t xml:space="preserve">Description: </w:t>
      </w:r>
      <w:r w:rsidRPr="005E7DD1">
        <w:rPr>
          <w:rFonts w:asciiTheme="minorHAnsi" w:hAnsiTheme="minorHAnsi" w:cstheme="minorHAnsi"/>
          <w:kern w:val="16"/>
        </w:rPr>
        <w:t>We discourage the sale of any high potency</w:t>
      </w:r>
      <w:r w:rsidR="00E065DE">
        <w:rPr>
          <w:rFonts w:asciiTheme="minorHAnsi" w:hAnsiTheme="minorHAnsi" w:cstheme="minorHAnsi"/>
          <w:kern w:val="16"/>
        </w:rPr>
        <w:t xml:space="preserve"> (high THC)</w:t>
      </w:r>
      <w:r w:rsidRPr="005E7DD1">
        <w:rPr>
          <w:rFonts w:asciiTheme="minorHAnsi" w:hAnsiTheme="minorHAnsi" w:cstheme="minorHAnsi"/>
          <w:kern w:val="16"/>
        </w:rPr>
        <w:t xml:space="preserve"> products but if their sale is allowed, then we recommend adopting higher </w:t>
      </w:r>
      <w:r w:rsidR="0087429D">
        <w:rPr>
          <w:rFonts w:asciiTheme="minorHAnsi" w:hAnsiTheme="minorHAnsi" w:cstheme="minorHAnsi"/>
          <w:kern w:val="16"/>
        </w:rPr>
        <w:t xml:space="preserve">tax </w:t>
      </w:r>
      <w:r w:rsidRPr="005E7DD1">
        <w:rPr>
          <w:rFonts w:asciiTheme="minorHAnsi" w:hAnsiTheme="minorHAnsi" w:cstheme="minorHAnsi"/>
          <w:kern w:val="16"/>
        </w:rPr>
        <w:t>rates for high potency products to discourage their cultivation, manufacturing and consumption.</w:t>
      </w:r>
    </w:p>
    <w:p w14:paraId="37E0F9BA" w14:textId="4CD931EE" w:rsidR="00683A63" w:rsidRPr="005E7DD1" w:rsidRDefault="00683A63" w:rsidP="00EA7BF8">
      <w:pPr>
        <w:jc w:val="both"/>
        <w:rPr>
          <w:rFonts w:asciiTheme="minorHAnsi" w:hAnsiTheme="minorHAnsi" w:cstheme="minorHAnsi"/>
          <w:b/>
          <w:kern w:val="16"/>
        </w:rPr>
      </w:pPr>
    </w:p>
    <w:p w14:paraId="435D5DBD" w14:textId="36EFC1DD" w:rsidR="00683A63" w:rsidRPr="005E7DD1" w:rsidRDefault="00683A63" w:rsidP="00EA7BF8">
      <w:pPr>
        <w:jc w:val="both"/>
        <w:rPr>
          <w:rFonts w:asciiTheme="minorHAnsi" w:hAnsiTheme="minorHAnsi" w:cstheme="minorHAnsi"/>
          <w:kern w:val="16"/>
        </w:rPr>
      </w:pPr>
      <w:r w:rsidRPr="005E7DD1">
        <w:rPr>
          <w:rFonts w:asciiTheme="minorHAnsi" w:hAnsiTheme="minorHAnsi" w:cstheme="minorHAnsi"/>
          <w:b/>
          <w:kern w:val="16"/>
        </w:rPr>
        <w:t xml:space="preserve">State Law: </w:t>
      </w:r>
      <w:r w:rsidRPr="005E7DD1">
        <w:rPr>
          <w:rFonts w:asciiTheme="minorHAnsi" w:hAnsiTheme="minorHAnsi" w:cstheme="minorHAnsi"/>
          <w:kern w:val="16"/>
        </w:rPr>
        <w:t>None</w:t>
      </w:r>
      <w:r w:rsidR="00C71E16">
        <w:rPr>
          <w:rFonts w:asciiTheme="minorHAnsi" w:hAnsiTheme="minorHAnsi" w:cstheme="minorHAnsi"/>
          <w:kern w:val="16"/>
        </w:rPr>
        <w:t>, although the Legislative Analyst’s Office recommended a potency based tax in December 2019</w:t>
      </w:r>
      <w:r w:rsidR="005647E3">
        <w:rPr>
          <w:rStyle w:val="FootnoteReference"/>
          <w:rFonts w:asciiTheme="minorHAnsi" w:hAnsiTheme="minorHAnsi" w:cstheme="minorHAnsi"/>
          <w:kern w:val="16"/>
        </w:rPr>
        <w:footnoteReference w:id="33"/>
      </w:r>
      <w:r w:rsidR="00C71E16">
        <w:rPr>
          <w:rFonts w:asciiTheme="minorHAnsi" w:hAnsiTheme="minorHAnsi" w:cstheme="minorHAnsi"/>
          <w:kern w:val="16"/>
        </w:rPr>
        <w:t xml:space="preserve"> this has not been implemented.</w:t>
      </w:r>
      <w:r w:rsidR="0087429D">
        <w:rPr>
          <w:rFonts w:asciiTheme="minorHAnsi" w:hAnsiTheme="minorHAnsi" w:cstheme="minorHAnsi"/>
          <w:kern w:val="16"/>
        </w:rPr>
        <w:t xml:space="preserve"> Score: 0.</w:t>
      </w:r>
    </w:p>
    <w:p w14:paraId="0F0B78FA" w14:textId="462CC093" w:rsidR="00683A63" w:rsidRPr="005E7DD1" w:rsidRDefault="00683A63" w:rsidP="00EA7BF8">
      <w:pPr>
        <w:jc w:val="both"/>
        <w:rPr>
          <w:rFonts w:asciiTheme="minorHAnsi" w:hAnsiTheme="minorHAnsi" w:cstheme="minorHAnsi"/>
          <w:kern w:val="16"/>
        </w:rPr>
      </w:pPr>
    </w:p>
    <w:p w14:paraId="5FB6BF1F" w14:textId="364C0BF9" w:rsidR="00DE1E77" w:rsidRPr="005E7DD1" w:rsidRDefault="00683A63" w:rsidP="00EA7BF8">
      <w:pPr>
        <w:jc w:val="both"/>
        <w:rPr>
          <w:rFonts w:asciiTheme="minorHAnsi" w:hAnsiTheme="minorHAnsi" w:cstheme="minorHAnsi"/>
        </w:rPr>
      </w:pPr>
      <w:r w:rsidRPr="005E7DD1">
        <w:rPr>
          <w:rFonts w:asciiTheme="minorHAnsi" w:hAnsiTheme="minorHAnsi" w:cstheme="minorHAnsi"/>
          <w:b/>
          <w:kern w:val="16"/>
        </w:rPr>
        <w:t>Rationale</w:t>
      </w:r>
      <w:r w:rsidR="00376E4B" w:rsidRPr="005E7DD1">
        <w:rPr>
          <w:rFonts w:asciiTheme="minorHAnsi" w:hAnsiTheme="minorHAnsi" w:cstheme="minorHAnsi"/>
          <w:b/>
          <w:kern w:val="16"/>
        </w:rPr>
        <w:t xml:space="preserve"> &amp; Points</w:t>
      </w:r>
      <w:r w:rsidRPr="005E7DD1">
        <w:rPr>
          <w:rFonts w:asciiTheme="minorHAnsi" w:hAnsiTheme="minorHAnsi" w:cstheme="minorHAnsi"/>
          <w:b/>
          <w:kern w:val="16"/>
        </w:rPr>
        <w:t xml:space="preserve">: </w:t>
      </w:r>
      <w:r w:rsidR="00DE1E77" w:rsidRPr="005E7DD1">
        <w:rPr>
          <w:rFonts w:asciiTheme="minorHAnsi" w:hAnsiTheme="minorHAnsi" w:cstheme="minorHAnsi"/>
          <w:kern w:val="16"/>
        </w:rPr>
        <w:t xml:space="preserve">In the 1960s and 70s, </w:t>
      </w:r>
      <w:r w:rsidR="00F94D7B">
        <w:rPr>
          <w:rFonts w:asciiTheme="minorHAnsi" w:hAnsiTheme="minorHAnsi" w:cstheme="minorHAnsi"/>
          <w:kern w:val="16"/>
        </w:rPr>
        <w:t>cannabis</w:t>
      </w:r>
      <w:r w:rsidR="00DE1E77" w:rsidRPr="005E7DD1">
        <w:rPr>
          <w:rFonts w:asciiTheme="minorHAnsi" w:hAnsiTheme="minorHAnsi" w:cstheme="minorHAnsi"/>
          <w:kern w:val="16"/>
        </w:rPr>
        <w:t xml:space="preserve"> flower had about</w:t>
      </w:r>
      <w:r w:rsidR="008603BA">
        <w:rPr>
          <w:rFonts w:asciiTheme="minorHAnsi" w:hAnsiTheme="minorHAnsi" w:cstheme="minorHAnsi"/>
          <w:kern w:val="16"/>
        </w:rPr>
        <w:t xml:space="preserve"> </w:t>
      </w:r>
      <w:r w:rsidR="00C71E16">
        <w:rPr>
          <w:rFonts w:asciiTheme="minorHAnsi" w:hAnsiTheme="minorHAnsi" w:cstheme="minorHAnsi"/>
          <w:kern w:val="16"/>
        </w:rPr>
        <w:t>3-</w:t>
      </w:r>
      <w:r w:rsidR="00DE1E77" w:rsidRPr="005E7DD1">
        <w:rPr>
          <w:rFonts w:asciiTheme="minorHAnsi" w:hAnsiTheme="minorHAnsi" w:cstheme="minorHAnsi"/>
          <w:kern w:val="16"/>
        </w:rPr>
        <w:t xml:space="preserve"> 4% THC, but potency has greatly increased and today </w:t>
      </w:r>
      <w:r w:rsidR="00C71E16">
        <w:rPr>
          <w:rFonts w:asciiTheme="minorHAnsi" w:hAnsiTheme="minorHAnsi" w:cstheme="minorHAnsi"/>
          <w:kern w:val="16"/>
        </w:rPr>
        <w:t xml:space="preserve">flower </w:t>
      </w:r>
      <w:r w:rsidR="00DE1E77" w:rsidRPr="005E7DD1">
        <w:rPr>
          <w:rFonts w:asciiTheme="minorHAnsi" w:hAnsiTheme="minorHAnsi" w:cstheme="minorHAnsi"/>
          <w:kern w:val="16"/>
        </w:rPr>
        <w:t>is between about 16 and 28% in stores</w:t>
      </w:r>
      <w:r w:rsidR="001376CD">
        <w:rPr>
          <w:rFonts w:asciiTheme="minorHAnsi" w:hAnsiTheme="minorHAnsi" w:cstheme="minorHAnsi"/>
          <w:kern w:val="16"/>
        </w:rPr>
        <w:t>. H</w:t>
      </w:r>
      <w:r w:rsidR="00DE1E77" w:rsidRPr="005E7DD1">
        <w:rPr>
          <w:rFonts w:asciiTheme="minorHAnsi" w:hAnsiTheme="minorHAnsi" w:cstheme="minorHAnsi"/>
          <w:kern w:val="16"/>
        </w:rPr>
        <w:t>igher potenc</w:t>
      </w:r>
      <w:r w:rsidR="001376CD">
        <w:rPr>
          <w:rFonts w:asciiTheme="minorHAnsi" w:hAnsiTheme="minorHAnsi" w:cstheme="minorHAnsi"/>
          <w:kern w:val="16"/>
        </w:rPr>
        <w:t xml:space="preserve">y flower is </w:t>
      </w:r>
      <w:r w:rsidR="00DE1E77" w:rsidRPr="005E7DD1">
        <w:rPr>
          <w:rFonts w:asciiTheme="minorHAnsi" w:hAnsiTheme="minorHAnsi" w:cstheme="minorHAnsi"/>
          <w:kern w:val="16"/>
        </w:rPr>
        <w:t>associated with more negative health effects.</w:t>
      </w:r>
      <w:r w:rsidR="00AA18A0">
        <w:rPr>
          <w:rStyle w:val="FootnoteReference"/>
          <w:rFonts w:asciiTheme="minorHAnsi" w:hAnsiTheme="minorHAnsi" w:cstheme="minorHAnsi"/>
          <w:kern w:val="16"/>
        </w:rPr>
        <w:footnoteReference w:id="34"/>
      </w:r>
      <w:r w:rsidR="00DE1E77" w:rsidRPr="005E7DD1">
        <w:rPr>
          <w:rFonts w:asciiTheme="minorHAnsi" w:hAnsiTheme="minorHAnsi" w:cstheme="minorHAnsi"/>
          <w:kern w:val="16"/>
        </w:rPr>
        <w:t xml:space="preserve"> </w:t>
      </w:r>
      <w:r w:rsidR="00C71E16">
        <w:rPr>
          <w:rFonts w:asciiTheme="minorHAnsi" w:hAnsiTheme="minorHAnsi" w:cstheme="minorHAnsi"/>
          <w:kern w:val="16"/>
        </w:rPr>
        <w:t>Cannabis concentrates such as vaping products are far more potent, often 60-</w:t>
      </w:r>
      <w:r w:rsidR="00FB0E78">
        <w:rPr>
          <w:rFonts w:asciiTheme="minorHAnsi" w:hAnsiTheme="minorHAnsi" w:cstheme="minorHAnsi"/>
          <w:kern w:val="16"/>
        </w:rPr>
        <w:t>90</w:t>
      </w:r>
      <w:r w:rsidR="00C71E16">
        <w:rPr>
          <w:rFonts w:asciiTheme="minorHAnsi" w:hAnsiTheme="minorHAnsi" w:cstheme="minorHAnsi"/>
          <w:kern w:val="16"/>
        </w:rPr>
        <w:t>% THC, and</w:t>
      </w:r>
      <w:r w:rsidR="00F94D7B">
        <w:rPr>
          <w:rFonts w:asciiTheme="minorHAnsi" w:hAnsiTheme="minorHAnsi" w:cstheme="minorHAnsi"/>
          <w:kern w:val="16"/>
        </w:rPr>
        <w:t xml:space="preserve"> </w:t>
      </w:r>
      <w:r w:rsidR="00DE1E77" w:rsidRPr="005E7DD1">
        <w:rPr>
          <w:rFonts w:asciiTheme="minorHAnsi" w:hAnsiTheme="minorHAnsi" w:cstheme="minorHAnsi"/>
          <w:kern w:val="16"/>
        </w:rPr>
        <w:t xml:space="preserve">some very high potency products, such as shatter for “dabbing” (vaporizing highly concentrated cannabis by placing it on a heated “nail” and inhaling intensely) </w:t>
      </w:r>
      <w:r w:rsidR="00FB0E78">
        <w:rPr>
          <w:rFonts w:asciiTheme="minorHAnsi" w:hAnsiTheme="minorHAnsi" w:cstheme="minorHAnsi"/>
          <w:kern w:val="16"/>
        </w:rPr>
        <w:t>can be</w:t>
      </w:r>
      <w:r w:rsidR="003B6C8F">
        <w:rPr>
          <w:rFonts w:asciiTheme="minorHAnsi" w:hAnsiTheme="minorHAnsi" w:cstheme="minorHAnsi"/>
          <w:kern w:val="16"/>
        </w:rPr>
        <w:t xml:space="preserve"> </w:t>
      </w:r>
      <w:r w:rsidR="00DE1E77" w:rsidRPr="005E7DD1">
        <w:rPr>
          <w:rFonts w:asciiTheme="minorHAnsi" w:hAnsiTheme="minorHAnsi" w:cstheme="minorHAnsi"/>
          <w:kern w:val="16"/>
        </w:rPr>
        <w:t>over 90% THC.</w:t>
      </w:r>
      <w:r w:rsidR="007A6306">
        <w:rPr>
          <w:rFonts w:asciiTheme="minorHAnsi" w:hAnsiTheme="minorHAnsi" w:cstheme="minorHAnsi"/>
          <w:kern w:val="16"/>
        </w:rPr>
        <w:t xml:space="preserve"> </w:t>
      </w:r>
      <w:r w:rsidRPr="005E7DD1">
        <w:rPr>
          <w:rFonts w:asciiTheme="minorHAnsi" w:hAnsiTheme="minorHAnsi" w:cstheme="minorHAnsi"/>
          <w:kern w:val="16"/>
        </w:rPr>
        <w:t xml:space="preserve">High potency products </w:t>
      </w:r>
      <w:r w:rsidRPr="005E7DD1">
        <w:rPr>
          <w:rFonts w:asciiTheme="minorHAnsi" w:hAnsiTheme="minorHAnsi" w:cstheme="minorHAnsi"/>
          <w:color w:val="000000" w:themeColor="text1"/>
        </w:rPr>
        <w:t xml:space="preserve">increase risks for </w:t>
      </w:r>
      <w:r w:rsidR="00C71E16">
        <w:rPr>
          <w:rFonts w:asciiTheme="minorHAnsi" w:hAnsiTheme="minorHAnsi" w:cstheme="minorHAnsi"/>
          <w:color w:val="000000" w:themeColor="text1"/>
        </w:rPr>
        <w:t xml:space="preserve">psychosis, </w:t>
      </w:r>
      <w:r w:rsidRPr="005E7DD1">
        <w:rPr>
          <w:rFonts w:asciiTheme="minorHAnsi" w:hAnsiTheme="minorHAnsi" w:cstheme="minorHAnsi"/>
          <w:color w:val="000000" w:themeColor="text1"/>
        </w:rPr>
        <w:t>dependence, tolerance, and withdrawal</w:t>
      </w:r>
      <w:r w:rsidRPr="005E7DD1">
        <w:rPr>
          <w:rStyle w:val="FootnoteReference"/>
          <w:rFonts w:asciiTheme="minorHAnsi" w:hAnsiTheme="minorHAnsi" w:cstheme="minorHAnsi"/>
          <w:color w:val="000000" w:themeColor="text1"/>
        </w:rPr>
        <w:footnoteReference w:id="35"/>
      </w:r>
      <w:r w:rsidRPr="005E7DD1">
        <w:rPr>
          <w:rFonts w:asciiTheme="minorHAnsi" w:hAnsiTheme="minorHAnsi" w:cstheme="minorHAnsi"/>
        </w:rPr>
        <w:t xml:space="preserve"> and </w:t>
      </w:r>
      <w:r w:rsidR="00C71E16">
        <w:rPr>
          <w:rFonts w:asciiTheme="minorHAnsi" w:hAnsiTheme="minorHAnsi" w:cstheme="minorHAnsi"/>
        </w:rPr>
        <w:t xml:space="preserve">other </w:t>
      </w:r>
      <w:r w:rsidRPr="005E7DD1">
        <w:rPr>
          <w:rFonts w:asciiTheme="minorHAnsi" w:hAnsiTheme="minorHAnsi" w:cstheme="minorHAnsi"/>
        </w:rPr>
        <w:t>adverse physiological and psychological effects -- paranoia, anxiety, and hallucinations have all been observed in those administered high doses of THC.</w:t>
      </w:r>
      <w:r w:rsidR="00F94D7B">
        <w:rPr>
          <w:rFonts w:asciiTheme="minorHAnsi" w:hAnsiTheme="minorHAnsi" w:cstheme="minorHAnsi"/>
        </w:rPr>
        <w:t xml:space="preserve"> </w:t>
      </w:r>
      <w:r w:rsidR="00C71E16">
        <w:rPr>
          <w:rFonts w:asciiTheme="minorHAnsi" w:hAnsiTheme="minorHAnsi" w:cstheme="minorHAnsi"/>
        </w:rPr>
        <w:t xml:space="preserve">Risk of psychosis increases </w:t>
      </w:r>
      <w:proofErr w:type="spellStart"/>
      <w:r w:rsidR="00C71E16">
        <w:rPr>
          <w:rFonts w:asciiTheme="minorHAnsi" w:hAnsiTheme="minorHAnsi" w:cstheme="minorHAnsi"/>
        </w:rPr>
        <w:t>five fold</w:t>
      </w:r>
      <w:proofErr w:type="spellEnd"/>
      <w:r w:rsidR="00C71E16">
        <w:rPr>
          <w:rFonts w:asciiTheme="minorHAnsi" w:hAnsiTheme="minorHAnsi" w:cstheme="minorHAnsi"/>
        </w:rPr>
        <w:t xml:space="preserve"> with daily use of cannabis above 10% THC.</w:t>
      </w:r>
      <w:r w:rsidR="001376CD">
        <w:rPr>
          <w:rStyle w:val="FootnoteReference"/>
          <w:rFonts w:asciiTheme="minorHAnsi" w:hAnsiTheme="minorHAnsi" w:cstheme="minorHAnsi"/>
        </w:rPr>
        <w:footnoteReference w:id="36"/>
      </w:r>
      <w:r w:rsidR="00376E4B" w:rsidRPr="005E7DD1">
        <w:rPr>
          <w:rFonts w:asciiTheme="minorHAnsi" w:hAnsiTheme="minorHAnsi" w:cstheme="minorHAnsi"/>
        </w:rPr>
        <w:t xml:space="preserve"> </w:t>
      </w:r>
      <w:r w:rsidR="00E203E6" w:rsidRPr="005E7DD1">
        <w:rPr>
          <w:rFonts w:asciiTheme="minorHAnsi" w:hAnsiTheme="minorHAnsi" w:cstheme="minorHAnsi"/>
        </w:rPr>
        <w:t>Recently, the LAO released its report on the state of California’s state cannabis tax scheme. In</w:t>
      </w:r>
      <w:r w:rsidR="00000E35" w:rsidRPr="005E7DD1">
        <w:rPr>
          <w:rFonts w:asciiTheme="minorHAnsi" w:hAnsiTheme="minorHAnsi" w:cstheme="minorHAnsi"/>
        </w:rPr>
        <w:t xml:space="preserve"> its report, the LAO notes </w:t>
      </w:r>
      <w:r w:rsidR="00000E35" w:rsidRPr="00AA18A0">
        <w:rPr>
          <w:rFonts w:asciiTheme="minorHAnsi" w:hAnsiTheme="minorHAnsi" w:cstheme="minorHAnsi"/>
          <w:color w:val="000000" w:themeColor="text1"/>
        </w:rPr>
        <w:t>that “</w:t>
      </w:r>
      <w:r w:rsidR="00000E35" w:rsidRPr="00AA18A0">
        <w:rPr>
          <w:rFonts w:asciiTheme="minorHAnsi" w:hAnsiTheme="minorHAnsi" w:cstheme="minorHAnsi"/>
          <w:color w:val="000000" w:themeColor="text1"/>
          <w:shd w:val="clear" w:color="auto" w:fill="FFFFFF"/>
        </w:rPr>
        <w:t>a tax should impose higher costs on more harmful purchases and lower costs on less harmful purchases</w:t>
      </w:r>
      <w:r w:rsidR="00000E35" w:rsidRPr="00EA7BF8">
        <w:rPr>
          <w:rFonts w:asciiTheme="minorHAnsi" w:hAnsiTheme="minorHAnsi" w:cstheme="minorHAnsi"/>
          <w:shd w:val="clear" w:color="auto" w:fill="FFFFFF"/>
        </w:rPr>
        <w:t>.”</w:t>
      </w:r>
      <w:r w:rsidR="00000E35" w:rsidRPr="00EA7BF8">
        <w:rPr>
          <w:rStyle w:val="FootnoteReference"/>
          <w:rFonts w:asciiTheme="minorHAnsi" w:hAnsiTheme="minorHAnsi" w:cstheme="minorHAnsi"/>
          <w:shd w:val="clear" w:color="auto" w:fill="FFFFFF"/>
        </w:rPr>
        <w:footnoteReference w:id="37"/>
      </w:r>
      <w:r w:rsidR="00000E35" w:rsidRPr="00EA7BF8">
        <w:rPr>
          <w:rFonts w:asciiTheme="minorHAnsi" w:hAnsiTheme="minorHAnsi" w:cstheme="minorHAnsi"/>
          <w:shd w:val="clear" w:color="auto" w:fill="FFFFFF"/>
        </w:rPr>
        <w:t xml:space="preserve"> Because a potency tax is an effective way to discourage harmful use</w:t>
      </w:r>
      <w:r w:rsidR="00C71E16" w:rsidRPr="00EA7BF8">
        <w:rPr>
          <w:rFonts w:asciiTheme="minorHAnsi" w:hAnsiTheme="minorHAnsi" w:cstheme="minorHAnsi"/>
          <w:shd w:val="clear" w:color="auto" w:fill="FFFFFF"/>
        </w:rPr>
        <w:t>,</w:t>
      </w:r>
      <w:r w:rsidR="00000E35" w:rsidRPr="00EA7BF8">
        <w:rPr>
          <w:rStyle w:val="FootnoteReference"/>
          <w:rFonts w:asciiTheme="minorHAnsi" w:hAnsiTheme="minorHAnsi" w:cstheme="minorHAnsi"/>
          <w:shd w:val="clear" w:color="auto" w:fill="FFFFFF"/>
        </w:rPr>
        <w:footnoteReference w:id="38"/>
      </w:r>
      <w:r w:rsidR="00E065DE">
        <w:rPr>
          <w:rFonts w:asciiTheme="minorHAnsi" w:hAnsiTheme="minorHAnsi" w:cstheme="minorHAnsi"/>
          <w:shd w:val="clear" w:color="auto" w:fill="FFFFFF"/>
        </w:rPr>
        <w:t xml:space="preserve"> </w:t>
      </w:r>
      <w:r w:rsidR="00000E35" w:rsidRPr="005E7DD1">
        <w:rPr>
          <w:rFonts w:asciiTheme="minorHAnsi" w:hAnsiTheme="minorHAnsi" w:cstheme="minorHAnsi"/>
        </w:rPr>
        <w:t xml:space="preserve">a </w:t>
      </w:r>
      <w:r w:rsidR="00376E4B" w:rsidRPr="005E7DD1">
        <w:rPr>
          <w:rFonts w:asciiTheme="minorHAnsi" w:hAnsiTheme="minorHAnsi" w:cstheme="minorHAnsi"/>
        </w:rPr>
        <w:t>jurisdiction that taxes high potency products is awarded</w:t>
      </w:r>
      <w:r w:rsidR="00F02335">
        <w:rPr>
          <w:rFonts w:asciiTheme="minorHAnsi" w:hAnsiTheme="minorHAnsi" w:cstheme="minorHAnsi"/>
        </w:rPr>
        <w:t xml:space="preserve"> four</w:t>
      </w:r>
      <w:r w:rsidR="00376E4B" w:rsidRPr="005E7DD1">
        <w:rPr>
          <w:rFonts w:asciiTheme="minorHAnsi" w:hAnsiTheme="minorHAnsi" w:cstheme="minorHAnsi"/>
        </w:rPr>
        <w:t xml:space="preserve"> points.</w:t>
      </w:r>
      <w:r w:rsidR="003B6C8F">
        <w:rPr>
          <w:rFonts w:asciiTheme="minorHAnsi" w:hAnsiTheme="minorHAnsi" w:cstheme="minorHAnsi"/>
        </w:rPr>
        <w:t xml:space="preserve"> </w:t>
      </w:r>
    </w:p>
    <w:p w14:paraId="47B50984" w14:textId="77777777" w:rsidR="00AA18A0" w:rsidRPr="005E7DD1" w:rsidRDefault="00AA18A0" w:rsidP="00DE1E77">
      <w:pPr>
        <w:rPr>
          <w:rFonts w:asciiTheme="minorHAnsi" w:hAnsiTheme="minorHAnsi" w:cstheme="minorHAnsi"/>
          <w:color w:val="4472C4" w:themeColor="accent1"/>
          <w:kern w:val="16"/>
        </w:rPr>
      </w:pPr>
    </w:p>
    <w:p w14:paraId="1E8AD12D" w14:textId="20F37689" w:rsidR="00DE1E77" w:rsidRPr="005E7DD1" w:rsidRDefault="00DE1E77" w:rsidP="00DE1E77">
      <w:pPr>
        <w:rPr>
          <w:rFonts w:asciiTheme="minorHAnsi" w:hAnsiTheme="minorHAnsi" w:cstheme="minorHAnsi"/>
          <w:b/>
          <w:color w:val="4472C4" w:themeColor="accent1"/>
          <w:kern w:val="16"/>
        </w:rPr>
      </w:pPr>
      <w:r w:rsidRPr="005E7DD1">
        <w:rPr>
          <w:rFonts w:asciiTheme="minorHAnsi" w:hAnsiTheme="minorHAnsi" w:cstheme="minorHAnsi"/>
          <w:b/>
          <w:color w:val="4472C4" w:themeColor="accent1"/>
          <w:kern w:val="16"/>
        </w:rPr>
        <w:t>Ban on Discounting (2 points)</w:t>
      </w:r>
    </w:p>
    <w:p w14:paraId="37172216" w14:textId="4E788251" w:rsidR="004D32A9" w:rsidRPr="005E7DD1" w:rsidRDefault="004D32A9" w:rsidP="00EA7BF8">
      <w:pPr>
        <w:jc w:val="both"/>
        <w:rPr>
          <w:rFonts w:asciiTheme="minorHAnsi" w:hAnsiTheme="minorHAnsi" w:cstheme="minorHAnsi"/>
          <w:color w:val="000000" w:themeColor="text1"/>
          <w:kern w:val="16"/>
        </w:rPr>
      </w:pPr>
      <w:r w:rsidRPr="005E7DD1">
        <w:rPr>
          <w:rFonts w:asciiTheme="minorHAnsi" w:hAnsiTheme="minorHAnsi" w:cstheme="minorHAnsi"/>
          <w:b/>
          <w:color w:val="000000" w:themeColor="text1"/>
          <w:kern w:val="16"/>
        </w:rPr>
        <w:t xml:space="preserve">Description: </w:t>
      </w:r>
      <w:r w:rsidRPr="005E7DD1">
        <w:rPr>
          <w:rFonts w:asciiTheme="minorHAnsi" w:hAnsiTheme="minorHAnsi" w:cstheme="minorHAnsi"/>
          <w:color w:val="000000" w:themeColor="text1"/>
          <w:kern w:val="16"/>
        </w:rPr>
        <w:t xml:space="preserve">Prohibiting discounting on cannabis products such as coupons or discount days. </w:t>
      </w:r>
    </w:p>
    <w:p w14:paraId="002C36F8" w14:textId="3B457DE5" w:rsidR="004D32A9" w:rsidRPr="005E7DD1" w:rsidRDefault="004D32A9" w:rsidP="00EA7BF8">
      <w:pPr>
        <w:jc w:val="both"/>
        <w:rPr>
          <w:rFonts w:asciiTheme="minorHAnsi" w:hAnsiTheme="minorHAnsi" w:cstheme="minorHAnsi"/>
          <w:color w:val="000000" w:themeColor="text1"/>
          <w:kern w:val="16"/>
        </w:rPr>
      </w:pPr>
    </w:p>
    <w:p w14:paraId="73FB7DB3" w14:textId="4F23F8F9" w:rsidR="004D32A9" w:rsidRPr="005E7DD1" w:rsidRDefault="004D32A9" w:rsidP="00EA7BF8">
      <w:pPr>
        <w:jc w:val="both"/>
        <w:rPr>
          <w:rFonts w:asciiTheme="minorHAnsi" w:hAnsiTheme="minorHAnsi" w:cstheme="minorHAnsi"/>
          <w:color w:val="000000" w:themeColor="text1"/>
          <w:kern w:val="16"/>
        </w:rPr>
      </w:pPr>
      <w:r w:rsidRPr="005E7DD1">
        <w:rPr>
          <w:rFonts w:asciiTheme="minorHAnsi" w:hAnsiTheme="minorHAnsi" w:cstheme="minorHAnsi"/>
          <w:b/>
          <w:color w:val="000000" w:themeColor="text1"/>
          <w:kern w:val="16"/>
        </w:rPr>
        <w:t xml:space="preserve">State Law: </w:t>
      </w:r>
      <w:r w:rsidRPr="005E7DD1">
        <w:rPr>
          <w:rFonts w:asciiTheme="minorHAnsi" w:hAnsiTheme="minorHAnsi" w:cstheme="minorHAnsi"/>
          <w:color w:val="000000" w:themeColor="text1"/>
          <w:kern w:val="16"/>
        </w:rPr>
        <w:t>Cannabis businesses may not advertise free products or giveaways of any type including Buy One, Get One Free, free products with donations, contests, sweepstakes or raffles.</w:t>
      </w:r>
      <w:r w:rsidRPr="005E7DD1">
        <w:rPr>
          <w:rStyle w:val="FootnoteReference"/>
          <w:rFonts w:asciiTheme="minorHAnsi" w:hAnsiTheme="minorHAnsi" w:cstheme="minorHAnsi"/>
          <w:color w:val="000000" w:themeColor="text1"/>
          <w:kern w:val="16"/>
        </w:rPr>
        <w:footnoteReference w:id="39"/>
      </w:r>
      <w:r w:rsidRPr="005E7DD1">
        <w:rPr>
          <w:rFonts w:asciiTheme="minorHAnsi" w:hAnsiTheme="minorHAnsi" w:cstheme="minorHAnsi"/>
          <w:color w:val="000000" w:themeColor="text1"/>
          <w:kern w:val="16"/>
        </w:rPr>
        <w:t xml:space="preserve"> Cannabis retailers may not offer free cannabis goods, except for in limited circumstances involving medical cannabis</w:t>
      </w:r>
      <w:r w:rsidRPr="005E7DD1">
        <w:rPr>
          <w:rStyle w:val="FootnoteReference"/>
          <w:rFonts w:asciiTheme="minorHAnsi" w:hAnsiTheme="minorHAnsi" w:cstheme="minorHAnsi"/>
          <w:color w:val="000000" w:themeColor="text1"/>
          <w:kern w:val="16"/>
        </w:rPr>
        <w:footnoteReference w:id="40"/>
      </w:r>
      <w:r w:rsidRPr="005E7DD1">
        <w:rPr>
          <w:rFonts w:asciiTheme="minorHAnsi" w:hAnsiTheme="minorHAnsi" w:cstheme="minorHAnsi"/>
          <w:color w:val="000000" w:themeColor="text1"/>
          <w:kern w:val="16"/>
        </w:rPr>
        <w:t xml:space="preserve"> </w:t>
      </w:r>
      <w:r w:rsidR="007505D0">
        <w:rPr>
          <w:rFonts w:asciiTheme="minorHAnsi" w:hAnsiTheme="minorHAnsi" w:cstheme="minorHAnsi"/>
          <w:color w:val="000000" w:themeColor="text1"/>
          <w:kern w:val="16"/>
        </w:rPr>
        <w:t>However a variety of other forms of price discounts are allowed.</w:t>
      </w:r>
      <w:r w:rsidR="00E065DE">
        <w:rPr>
          <w:rFonts w:asciiTheme="minorHAnsi" w:hAnsiTheme="minorHAnsi" w:cstheme="minorHAnsi"/>
          <w:color w:val="000000" w:themeColor="text1"/>
          <w:kern w:val="16"/>
        </w:rPr>
        <w:t xml:space="preserve"> Score: 2.</w:t>
      </w:r>
    </w:p>
    <w:p w14:paraId="7156696A" w14:textId="1B170A43" w:rsidR="004D32A9" w:rsidRPr="005E7DD1" w:rsidRDefault="004D32A9" w:rsidP="00EA7BF8">
      <w:pPr>
        <w:jc w:val="both"/>
        <w:rPr>
          <w:rFonts w:asciiTheme="minorHAnsi" w:hAnsiTheme="minorHAnsi" w:cstheme="minorHAnsi"/>
          <w:color w:val="000000" w:themeColor="text1"/>
          <w:kern w:val="16"/>
        </w:rPr>
      </w:pPr>
    </w:p>
    <w:p w14:paraId="4E877048" w14:textId="32135208" w:rsidR="00DE1E77" w:rsidRPr="005E7DD1" w:rsidRDefault="004D32A9" w:rsidP="00EA7BF8">
      <w:pPr>
        <w:jc w:val="both"/>
        <w:rPr>
          <w:rFonts w:asciiTheme="minorHAnsi" w:hAnsiTheme="minorHAnsi" w:cstheme="minorHAnsi"/>
          <w:b/>
          <w:color w:val="000000" w:themeColor="text1"/>
          <w:kern w:val="16"/>
        </w:rPr>
      </w:pPr>
      <w:r w:rsidRPr="005E7DD1">
        <w:rPr>
          <w:rFonts w:asciiTheme="minorHAnsi" w:hAnsiTheme="minorHAnsi" w:cstheme="minorHAnsi"/>
          <w:b/>
          <w:color w:val="000000" w:themeColor="text1"/>
          <w:kern w:val="16"/>
        </w:rPr>
        <w:lastRenderedPageBreak/>
        <w:t>Rationale</w:t>
      </w:r>
      <w:r w:rsidR="00644BC2" w:rsidRPr="005E7DD1">
        <w:rPr>
          <w:rFonts w:asciiTheme="minorHAnsi" w:hAnsiTheme="minorHAnsi" w:cstheme="minorHAnsi"/>
          <w:b/>
          <w:color w:val="000000" w:themeColor="text1"/>
          <w:kern w:val="16"/>
        </w:rPr>
        <w:t xml:space="preserve"> &amp; Points</w:t>
      </w:r>
      <w:r w:rsidRPr="005E7DD1">
        <w:rPr>
          <w:rFonts w:asciiTheme="minorHAnsi" w:hAnsiTheme="minorHAnsi" w:cstheme="minorHAnsi"/>
          <w:b/>
          <w:color w:val="000000" w:themeColor="text1"/>
          <w:kern w:val="16"/>
        </w:rPr>
        <w:t>:</w:t>
      </w:r>
      <w:r w:rsidR="007A6306">
        <w:rPr>
          <w:rFonts w:asciiTheme="minorHAnsi" w:hAnsiTheme="minorHAnsi" w:cstheme="minorHAnsi"/>
          <w:b/>
          <w:color w:val="000000" w:themeColor="text1"/>
          <w:kern w:val="16"/>
        </w:rPr>
        <w:t xml:space="preserve"> </w:t>
      </w:r>
      <w:r w:rsidR="00DE1E77" w:rsidRPr="005E7DD1">
        <w:rPr>
          <w:rFonts w:asciiTheme="minorHAnsi" w:hAnsiTheme="minorHAnsi" w:cstheme="minorHAnsi"/>
        </w:rPr>
        <w:t xml:space="preserve">Prohibiting discounting at the cannabis retail level is an important way to prohibit measures that encourage consumers to purchase more </w:t>
      </w:r>
      <w:r w:rsidRPr="005E7DD1">
        <w:rPr>
          <w:rFonts w:asciiTheme="minorHAnsi" w:hAnsiTheme="minorHAnsi" w:cstheme="minorHAnsi"/>
        </w:rPr>
        <w:t>pr</w:t>
      </w:r>
      <w:r w:rsidR="00DE1E77" w:rsidRPr="005E7DD1">
        <w:rPr>
          <w:rFonts w:asciiTheme="minorHAnsi" w:hAnsiTheme="minorHAnsi" w:cstheme="minorHAnsi"/>
        </w:rPr>
        <w:t xml:space="preserve">oducts than they might otherwise choose, such as </w:t>
      </w:r>
      <w:r w:rsidR="007505D0">
        <w:rPr>
          <w:rFonts w:asciiTheme="minorHAnsi" w:hAnsiTheme="minorHAnsi" w:cstheme="minorHAnsi"/>
        </w:rPr>
        <w:t>50% off</w:t>
      </w:r>
      <w:r w:rsidR="00DE1E77" w:rsidRPr="005E7DD1">
        <w:rPr>
          <w:rFonts w:asciiTheme="minorHAnsi" w:hAnsiTheme="minorHAnsi" w:cstheme="minorHAnsi"/>
        </w:rPr>
        <w:t>,</w:t>
      </w:r>
      <w:r w:rsidR="007505D0">
        <w:rPr>
          <w:rFonts w:asciiTheme="minorHAnsi" w:hAnsiTheme="minorHAnsi" w:cstheme="minorHAnsi"/>
        </w:rPr>
        <w:t xml:space="preserve"> </w:t>
      </w:r>
      <w:r w:rsidR="00DE1E77" w:rsidRPr="005E7DD1">
        <w:rPr>
          <w:rFonts w:asciiTheme="minorHAnsi" w:hAnsiTheme="minorHAnsi" w:cstheme="minorHAnsi"/>
        </w:rPr>
        <w:t xml:space="preserve">time-limited coupons, or </w:t>
      </w:r>
      <w:r w:rsidR="00644BC2" w:rsidRPr="005E7DD1">
        <w:rPr>
          <w:rFonts w:asciiTheme="minorHAnsi" w:hAnsiTheme="minorHAnsi" w:cstheme="minorHAnsi"/>
        </w:rPr>
        <w:t>discount day</w:t>
      </w:r>
      <w:r w:rsidR="00DE1E77" w:rsidRPr="005E7DD1">
        <w:rPr>
          <w:rFonts w:asciiTheme="minorHAnsi" w:hAnsiTheme="minorHAnsi" w:cstheme="minorHAnsi"/>
        </w:rPr>
        <w:t>s.</w:t>
      </w:r>
      <w:r w:rsidR="004142E7" w:rsidRPr="005E7DD1">
        <w:rPr>
          <w:rFonts w:asciiTheme="minorHAnsi" w:hAnsiTheme="minorHAnsi" w:cstheme="minorHAnsi"/>
        </w:rPr>
        <w:t xml:space="preserve"> Tobacco research has shown that cigarette companies are strategic with their discounts, often targeting young adults, heavy smokers, and women.</w:t>
      </w:r>
      <w:r w:rsidR="007A6306">
        <w:rPr>
          <w:rFonts w:asciiTheme="minorHAnsi" w:hAnsiTheme="minorHAnsi" w:cstheme="minorHAnsi"/>
        </w:rPr>
        <w:t xml:space="preserve"> </w:t>
      </w:r>
      <w:r w:rsidR="000C2B4F" w:rsidRPr="005E7DD1">
        <w:rPr>
          <w:rFonts w:asciiTheme="minorHAnsi" w:hAnsiTheme="minorHAnsi" w:cstheme="minorHAnsi"/>
        </w:rPr>
        <w:t>Additionally, smokers who use price discounts are less likely to attempt to quit smoking or to successfully quit at some point in the future.</w:t>
      </w:r>
      <w:r w:rsidR="000C2B4F" w:rsidRPr="005E7DD1">
        <w:rPr>
          <w:rStyle w:val="FootnoteReference"/>
          <w:rFonts w:asciiTheme="minorHAnsi" w:hAnsiTheme="minorHAnsi" w:cstheme="minorHAnsi"/>
        </w:rPr>
        <w:footnoteReference w:id="41"/>
      </w:r>
      <w:r w:rsidR="000C2B4F" w:rsidRPr="005E7DD1">
        <w:rPr>
          <w:rFonts w:asciiTheme="minorHAnsi" w:hAnsiTheme="minorHAnsi" w:cstheme="minorHAnsi"/>
        </w:rPr>
        <w:t xml:space="preserve"> Thus, j</w:t>
      </w:r>
      <w:r w:rsidR="00DE1E77" w:rsidRPr="005E7DD1">
        <w:rPr>
          <w:rFonts w:asciiTheme="minorHAnsi" w:hAnsiTheme="minorHAnsi" w:cstheme="minorHAnsi"/>
        </w:rPr>
        <w:t xml:space="preserve">urisdictions that include bans on discounting beyond </w:t>
      </w:r>
      <w:r w:rsidRPr="005E7DD1">
        <w:rPr>
          <w:rFonts w:asciiTheme="minorHAnsi" w:hAnsiTheme="minorHAnsi" w:cstheme="minorHAnsi"/>
        </w:rPr>
        <w:t xml:space="preserve">that required by </w:t>
      </w:r>
      <w:r w:rsidR="00DE1E77" w:rsidRPr="005E7DD1">
        <w:rPr>
          <w:rFonts w:asciiTheme="minorHAnsi" w:hAnsiTheme="minorHAnsi" w:cstheme="minorHAnsi"/>
        </w:rPr>
        <w:t>state law are awarded two points.</w:t>
      </w:r>
    </w:p>
    <w:p w14:paraId="3CEB63B1" w14:textId="77777777" w:rsidR="00DE1E77" w:rsidRPr="005E7DD1" w:rsidRDefault="00DE1E77" w:rsidP="00DE1E77">
      <w:pPr>
        <w:rPr>
          <w:rFonts w:asciiTheme="minorHAnsi" w:hAnsiTheme="minorHAnsi" w:cstheme="minorHAnsi"/>
          <w:b/>
          <w:kern w:val="16"/>
        </w:rPr>
      </w:pPr>
    </w:p>
    <w:p w14:paraId="2D5C6441" w14:textId="5D78977D" w:rsidR="00DE1E77" w:rsidRPr="005E7DD1" w:rsidRDefault="00DE1E77" w:rsidP="00DE1E77">
      <w:pPr>
        <w:rPr>
          <w:rFonts w:asciiTheme="minorHAnsi" w:hAnsiTheme="minorHAnsi" w:cstheme="minorHAnsi"/>
          <w:b/>
          <w:color w:val="4472C4" w:themeColor="accent1"/>
          <w:kern w:val="16"/>
        </w:rPr>
      </w:pPr>
      <w:r w:rsidRPr="005E7DD1">
        <w:rPr>
          <w:rFonts w:asciiTheme="minorHAnsi" w:hAnsiTheme="minorHAnsi" w:cstheme="minorHAnsi"/>
          <w:b/>
          <w:color w:val="4472C4" w:themeColor="accent1"/>
          <w:kern w:val="16"/>
        </w:rPr>
        <w:t>Minimum Price (1 point)</w:t>
      </w:r>
    </w:p>
    <w:p w14:paraId="3A835B26" w14:textId="0573F701" w:rsidR="00644BC2" w:rsidRPr="005E7DD1" w:rsidRDefault="00644BC2" w:rsidP="00DE1E77">
      <w:pPr>
        <w:rPr>
          <w:rFonts w:asciiTheme="minorHAnsi" w:hAnsiTheme="minorHAnsi" w:cstheme="minorHAnsi"/>
          <w:color w:val="000000" w:themeColor="text1"/>
          <w:kern w:val="16"/>
        </w:rPr>
      </w:pPr>
      <w:r w:rsidRPr="005E7DD1">
        <w:rPr>
          <w:rFonts w:asciiTheme="minorHAnsi" w:hAnsiTheme="minorHAnsi" w:cstheme="minorHAnsi"/>
          <w:b/>
          <w:color w:val="000000" w:themeColor="text1"/>
          <w:kern w:val="16"/>
        </w:rPr>
        <w:t xml:space="preserve">Description: </w:t>
      </w:r>
      <w:r w:rsidRPr="005E7DD1">
        <w:rPr>
          <w:rFonts w:asciiTheme="minorHAnsi" w:hAnsiTheme="minorHAnsi" w:cstheme="minorHAnsi"/>
          <w:color w:val="000000" w:themeColor="text1"/>
          <w:kern w:val="16"/>
        </w:rPr>
        <w:t xml:space="preserve">Mandating minimum prices on cannabis products to discourage consumption. </w:t>
      </w:r>
    </w:p>
    <w:p w14:paraId="4CD7A001" w14:textId="07221A83" w:rsidR="00644BC2" w:rsidRPr="005E7DD1" w:rsidRDefault="00644BC2" w:rsidP="00DE1E77">
      <w:pPr>
        <w:rPr>
          <w:rFonts w:asciiTheme="minorHAnsi" w:hAnsiTheme="minorHAnsi" w:cstheme="minorHAnsi"/>
          <w:color w:val="000000" w:themeColor="text1"/>
          <w:kern w:val="16"/>
        </w:rPr>
      </w:pPr>
    </w:p>
    <w:p w14:paraId="425FC664" w14:textId="30238059" w:rsidR="00644BC2" w:rsidRPr="005E7DD1" w:rsidRDefault="00644BC2" w:rsidP="00DE1E77">
      <w:pPr>
        <w:rPr>
          <w:rFonts w:asciiTheme="minorHAnsi" w:hAnsiTheme="minorHAnsi" w:cstheme="minorHAnsi"/>
          <w:color w:val="000000" w:themeColor="text1"/>
          <w:kern w:val="16"/>
        </w:rPr>
      </w:pPr>
      <w:r w:rsidRPr="005E7DD1">
        <w:rPr>
          <w:rFonts w:asciiTheme="minorHAnsi" w:hAnsiTheme="minorHAnsi" w:cstheme="minorHAnsi"/>
          <w:b/>
          <w:color w:val="000000" w:themeColor="text1"/>
          <w:kern w:val="16"/>
        </w:rPr>
        <w:t xml:space="preserve">State Law: </w:t>
      </w:r>
      <w:r w:rsidRPr="005E7DD1">
        <w:rPr>
          <w:rFonts w:asciiTheme="minorHAnsi" w:hAnsiTheme="minorHAnsi" w:cstheme="minorHAnsi"/>
          <w:color w:val="000000" w:themeColor="text1"/>
          <w:kern w:val="16"/>
        </w:rPr>
        <w:t>None</w:t>
      </w:r>
      <w:r w:rsidR="00E065DE">
        <w:rPr>
          <w:rFonts w:asciiTheme="minorHAnsi" w:hAnsiTheme="minorHAnsi" w:cstheme="minorHAnsi"/>
          <w:color w:val="000000" w:themeColor="text1"/>
          <w:kern w:val="16"/>
        </w:rPr>
        <w:t>. Score: 0.</w:t>
      </w:r>
    </w:p>
    <w:p w14:paraId="27765CF2" w14:textId="02D88470" w:rsidR="00644BC2" w:rsidRPr="005E7DD1" w:rsidRDefault="00644BC2" w:rsidP="00DE1E77">
      <w:pPr>
        <w:rPr>
          <w:rFonts w:asciiTheme="minorHAnsi" w:hAnsiTheme="minorHAnsi" w:cstheme="minorHAnsi"/>
          <w:color w:val="000000" w:themeColor="text1"/>
          <w:kern w:val="16"/>
        </w:rPr>
      </w:pPr>
    </w:p>
    <w:p w14:paraId="4C7EDB1E" w14:textId="04A3810A" w:rsidR="00DE1E77" w:rsidRPr="005E7DD1" w:rsidRDefault="00644BC2" w:rsidP="00EA7BF8">
      <w:pPr>
        <w:jc w:val="both"/>
        <w:rPr>
          <w:rFonts w:asciiTheme="minorHAnsi" w:hAnsiTheme="minorHAnsi" w:cstheme="minorHAnsi"/>
        </w:rPr>
      </w:pPr>
      <w:r w:rsidRPr="005E7DD1">
        <w:rPr>
          <w:rFonts w:asciiTheme="minorHAnsi" w:hAnsiTheme="minorHAnsi" w:cstheme="minorHAnsi"/>
          <w:b/>
          <w:color w:val="000000" w:themeColor="text1"/>
          <w:kern w:val="16"/>
        </w:rPr>
        <w:t>Rationale</w:t>
      </w:r>
      <w:r w:rsidR="00AA18A0">
        <w:rPr>
          <w:rFonts w:asciiTheme="minorHAnsi" w:hAnsiTheme="minorHAnsi" w:cstheme="minorHAnsi"/>
          <w:b/>
          <w:color w:val="000000" w:themeColor="text1"/>
          <w:kern w:val="16"/>
        </w:rPr>
        <w:t xml:space="preserve"> &amp; Points</w:t>
      </w:r>
      <w:r w:rsidRPr="005E7DD1">
        <w:rPr>
          <w:rFonts w:asciiTheme="minorHAnsi" w:hAnsiTheme="minorHAnsi" w:cstheme="minorHAnsi"/>
          <w:b/>
          <w:color w:val="000000" w:themeColor="text1"/>
          <w:kern w:val="16"/>
        </w:rPr>
        <w:t xml:space="preserve">: </w:t>
      </w:r>
      <w:r w:rsidR="00DE1E77" w:rsidRPr="005E7DD1">
        <w:rPr>
          <w:rFonts w:asciiTheme="minorHAnsi" w:hAnsiTheme="minorHAnsi" w:cstheme="minorHAnsi"/>
        </w:rPr>
        <w:t xml:space="preserve">Minimum price measures have been used to discourage tobacco consumption by assuring higher prices. From tobacco, we know that when cigarettes cost more, fewer adolescents start smoking. For every 10 percent increase in the real price of cigarettes, the number of kids who </w:t>
      </w:r>
      <w:r w:rsidR="00E065DE">
        <w:rPr>
          <w:rFonts w:asciiTheme="minorHAnsi" w:hAnsiTheme="minorHAnsi" w:cstheme="minorHAnsi"/>
        </w:rPr>
        <w:t>con</w:t>
      </w:r>
      <w:r w:rsidR="00DE1E77" w:rsidRPr="005E7DD1">
        <w:rPr>
          <w:rFonts w:asciiTheme="minorHAnsi" w:hAnsiTheme="minorHAnsi" w:cstheme="minorHAnsi"/>
        </w:rPr>
        <w:t>s</w:t>
      </w:r>
      <w:r w:rsidR="00E065DE">
        <w:rPr>
          <w:rFonts w:asciiTheme="minorHAnsi" w:hAnsiTheme="minorHAnsi" w:cstheme="minorHAnsi"/>
        </w:rPr>
        <w:t>u</w:t>
      </w:r>
      <w:r w:rsidR="00DE1E77" w:rsidRPr="005E7DD1">
        <w:rPr>
          <w:rFonts w:asciiTheme="minorHAnsi" w:hAnsiTheme="minorHAnsi" w:cstheme="minorHAnsi"/>
        </w:rPr>
        <w:t>me is reduced by six or seven percent and overall cigarette consumption is reduced by approximately 3 to 5 percent.</w:t>
      </w:r>
      <w:r w:rsidR="00DE1E77" w:rsidRPr="005E7DD1">
        <w:rPr>
          <w:rStyle w:val="FootnoteReference"/>
          <w:rFonts w:asciiTheme="minorHAnsi" w:hAnsiTheme="minorHAnsi" w:cstheme="minorHAnsi"/>
        </w:rPr>
        <w:footnoteReference w:id="42"/>
      </w:r>
      <w:r w:rsidR="00DE1E77" w:rsidRPr="005E7DD1">
        <w:rPr>
          <w:rFonts w:asciiTheme="minorHAnsi" w:hAnsiTheme="minorHAnsi" w:cstheme="minorHAnsi"/>
        </w:rPr>
        <w:t xml:space="preserve"> </w:t>
      </w:r>
      <w:r w:rsidRPr="005E7DD1">
        <w:rPr>
          <w:rFonts w:asciiTheme="minorHAnsi" w:hAnsiTheme="minorHAnsi" w:cstheme="minorHAnsi"/>
        </w:rPr>
        <w:t xml:space="preserve">Similar price and correlated use relationship </w:t>
      </w:r>
      <w:r w:rsidR="00E065DE">
        <w:rPr>
          <w:rFonts w:asciiTheme="minorHAnsi" w:hAnsiTheme="minorHAnsi" w:cstheme="minorHAnsi"/>
        </w:rPr>
        <w:t>i</w:t>
      </w:r>
      <w:r w:rsidRPr="005E7DD1">
        <w:rPr>
          <w:rFonts w:asciiTheme="minorHAnsi" w:hAnsiTheme="minorHAnsi" w:cstheme="minorHAnsi"/>
        </w:rPr>
        <w:t>s expected in cannabis as well.</w:t>
      </w:r>
      <w:r w:rsidR="007A6306">
        <w:rPr>
          <w:rFonts w:asciiTheme="minorHAnsi" w:hAnsiTheme="minorHAnsi" w:cstheme="minorHAnsi"/>
        </w:rPr>
        <w:t xml:space="preserve"> </w:t>
      </w:r>
      <w:r w:rsidR="007505D0">
        <w:rPr>
          <w:rFonts w:asciiTheme="minorHAnsi" w:hAnsiTheme="minorHAnsi" w:cstheme="minorHAnsi"/>
        </w:rPr>
        <w:t>Minimum price laws can maintain price floors even when a tax has not been passed by the voters. They can al</w:t>
      </w:r>
      <w:r w:rsidR="00EC7497">
        <w:rPr>
          <w:rFonts w:asciiTheme="minorHAnsi" w:hAnsiTheme="minorHAnsi" w:cstheme="minorHAnsi"/>
        </w:rPr>
        <w:t>so</w:t>
      </w:r>
      <w:r w:rsidR="007505D0">
        <w:rPr>
          <w:rFonts w:asciiTheme="minorHAnsi" w:hAnsiTheme="minorHAnsi" w:cstheme="minorHAnsi"/>
        </w:rPr>
        <w:t xml:space="preserve"> prevent a large retailer undercutting</w:t>
      </w:r>
      <w:r w:rsidR="00F94D7B">
        <w:rPr>
          <w:rFonts w:asciiTheme="minorHAnsi" w:hAnsiTheme="minorHAnsi" w:cstheme="minorHAnsi"/>
        </w:rPr>
        <w:t xml:space="preserve"> </w:t>
      </w:r>
      <w:r w:rsidR="007505D0">
        <w:rPr>
          <w:rFonts w:asciiTheme="minorHAnsi" w:hAnsiTheme="minorHAnsi" w:cstheme="minorHAnsi"/>
        </w:rPr>
        <w:t>a smaller competitor</w:t>
      </w:r>
      <w:r w:rsidR="00EC7497">
        <w:rPr>
          <w:rFonts w:asciiTheme="minorHAnsi" w:hAnsiTheme="minorHAnsi" w:cstheme="minorHAnsi"/>
        </w:rPr>
        <w:t>.</w:t>
      </w:r>
      <w:r w:rsidR="007505D0" w:rsidRPr="005E7DD1">
        <w:rPr>
          <w:rFonts w:asciiTheme="minorHAnsi" w:hAnsiTheme="minorHAnsi" w:cstheme="minorHAnsi"/>
        </w:rPr>
        <w:t xml:space="preserve"> </w:t>
      </w:r>
      <w:r w:rsidR="00DE1E77" w:rsidRPr="005E7DD1">
        <w:rPr>
          <w:rFonts w:asciiTheme="minorHAnsi" w:hAnsiTheme="minorHAnsi" w:cstheme="minorHAnsi"/>
        </w:rPr>
        <w:t>Jurisdictions that set a minimum price on cannabis products</w:t>
      </w:r>
      <w:r w:rsidR="007505D0">
        <w:rPr>
          <w:rFonts w:asciiTheme="minorHAnsi" w:hAnsiTheme="minorHAnsi" w:cstheme="minorHAnsi"/>
        </w:rPr>
        <w:t>, even if only an authorization to do so in the future,</w:t>
      </w:r>
      <w:r w:rsidR="00F94D7B">
        <w:rPr>
          <w:rFonts w:asciiTheme="minorHAnsi" w:hAnsiTheme="minorHAnsi" w:cstheme="minorHAnsi"/>
        </w:rPr>
        <w:t xml:space="preserve"> </w:t>
      </w:r>
      <w:r w:rsidR="00DE1E77" w:rsidRPr="005E7DD1">
        <w:rPr>
          <w:rFonts w:asciiTheme="minorHAnsi" w:hAnsiTheme="minorHAnsi" w:cstheme="minorHAnsi"/>
        </w:rPr>
        <w:t xml:space="preserve">are awarded 1 point. </w:t>
      </w:r>
    </w:p>
    <w:p w14:paraId="39A8EF02" w14:textId="17D09930" w:rsidR="00DE1E77" w:rsidRPr="005E7DD1" w:rsidRDefault="00DE1E77" w:rsidP="00DE1E77">
      <w:pPr>
        <w:rPr>
          <w:rFonts w:asciiTheme="minorHAnsi" w:hAnsiTheme="minorHAnsi" w:cstheme="minorHAnsi"/>
          <w:color w:val="4472C4" w:themeColor="accent1"/>
        </w:rPr>
      </w:pPr>
    </w:p>
    <w:p w14:paraId="38918800" w14:textId="3D1A6168" w:rsidR="00644BC2" w:rsidRPr="005E7DD1" w:rsidRDefault="00644BC2" w:rsidP="00DE1E77">
      <w:pPr>
        <w:rPr>
          <w:rFonts w:asciiTheme="minorHAnsi" w:hAnsiTheme="minorHAnsi" w:cstheme="minorHAnsi"/>
          <w:b/>
          <w:color w:val="4472C4" w:themeColor="accent1"/>
        </w:rPr>
      </w:pPr>
      <w:r w:rsidRPr="005E7DD1">
        <w:rPr>
          <w:rFonts w:asciiTheme="minorHAnsi" w:hAnsiTheme="minorHAnsi" w:cstheme="minorHAnsi"/>
          <w:b/>
          <w:color w:val="4472C4" w:themeColor="accent1"/>
        </w:rPr>
        <w:t>CATEGORY THREE: PRODUCT LIMITS</w:t>
      </w:r>
    </w:p>
    <w:p w14:paraId="200FE8E8" w14:textId="5E3837AB" w:rsidR="00644BC2" w:rsidRPr="005E7DD1" w:rsidRDefault="00644BC2" w:rsidP="00EA7BF8">
      <w:pPr>
        <w:jc w:val="both"/>
        <w:rPr>
          <w:rFonts w:asciiTheme="minorHAnsi" w:hAnsiTheme="minorHAnsi" w:cstheme="minorHAnsi"/>
          <w:color w:val="000000" w:themeColor="text1"/>
        </w:rPr>
      </w:pPr>
      <w:r w:rsidRPr="005E7DD1">
        <w:rPr>
          <w:rFonts w:asciiTheme="minorHAnsi" w:hAnsiTheme="minorHAnsi" w:cstheme="minorHAnsi"/>
          <w:color w:val="000000" w:themeColor="text1"/>
        </w:rPr>
        <w:t xml:space="preserve">There is a significant </w:t>
      </w:r>
      <w:r w:rsidR="007505D0">
        <w:rPr>
          <w:rFonts w:asciiTheme="minorHAnsi" w:hAnsiTheme="minorHAnsi" w:cstheme="minorHAnsi"/>
          <w:color w:val="000000" w:themeColor="text1"/>
        </w:rPr>
        <w:t xml:space="preserve">and rapidly expanding </w:t>
      </w:r>
      <w:r w:rsidRPr="005E7DD1">
        <w:rPr>
          <w:rFonts w:asciiTheme="minorHAnsi" w:hAnsiTheme="minorHAnsi" w:cstheme="minorHAnsi"/>
          <w:color w:val="000000" w:themeColor="text1"/>
        </w:rPr>
        <w:t xml:space="preserve">group of products that are not traditional </w:t>
      </w:r>
      <w:r w:rsidR="00F94D7B">
        <w:rPr>
          <w:rFonts w:asciiTheme="minorHAnsi" w:hAnsiTheme="minorHAnsi" w:cstheme="minorHAnsi"/>
          <w:color w:val="000000" w:themeColor="text1"/>
        </w:rPr>
        <w:t>cannabis</w:t>
      </w:r>
      <w:r w:rsidRPr="005E7DD1">
        <w:rPr>
          <w:rFonts w:asciiTheme="minorHAnsi" w:hAnsiTheme="minorHAnsi" w:cstheme="minorHAnsi"/>
          <w:color w:val="000000" w:themeColor="text1"/>
        </w:rPr>
        <w:t>, and which represent the recent effort by the industry to diversify its supply and expand its market in ways which will inevitably attract youth as well as adults, increase risk of dependency, and/or increase risk of adverse effects. Legalization of cannabis does not require legalization of every conceivable formulation of cannabis. It is well-known that products with characterizing flavors (such as strawberry-banana</w:t>
      </w:r>
      <w:r w:rsidR="00FB0E78">
        <w:rPr>
          <w:rFonts w:asciiTheme="minorHAnsi" w:hAnsiTheme="minorHAnsi" w:cstheme="minorHAnsi"/>
          <w:color w:val="000000" w:themeColor="text1"/>
        </w:rPr>
        <w:t xml:space="preserve"> or grape</w:t>
      </w:r>
      <w:r w:rsidRPr="005E7DD1">
        <w:rPr>
          <w:rFonts w:asciiTheme="minorHAnsi" w:hAnsiTheme="minorHAnsi" w:cstheme="minorHAnsi"/>
          <w:color w:val="000000" w:themeColor="text1"/>
        </w:rPr>
        <w:t xml:space="preserve">) are used to attract and addict youth and should be restricted. There are four subcategories under Product Limits: 1) Restrictions on high potency products; 2) Ban on flavored non-edibles; 3) Ban on cannabis-infused beverages, 4) Ban on </w:t>
      </w:r>
      <w:r w:rsidR="007505D0">
        <w:rPr>
          <w:rFonts w:asciiTheme="minorHAnsi" w:hAnsiTheme="minorHAnsi" w:cstheme="minorHAnsi"/>
          <w:color w:val="000000" w:themeColor="text1"/>
        </w:rPr>
        <w:t xml:space="preserve">other </w:t>
      </w:r>
      <w:r w:rsidRPr="005E7DD1">
        <w:rPr>
          <w:rFonts w:asciiTheme="minorHAnsi" w:hAnsiTheme="minorHAnsi" w:cstheme="minorHAnsi"/>
          <w:color w:val="000000" w:themeColor="text1"/>
        </w:rPr>
        <w:t xml:space="preserve">products attractive to youth (greater than state law requires). </w:t>
      </w:r>
    </w:p>
    <w:p w14:paraId="1D66CAC6" w14:textId="77777777" w:rsidR="00644BC2" w:rsidRPr="005E7DD1" w:rsidRDefault="00644BC2" w:rsidP="00644BC2">
      <w:pPr>
        <w:rPr>
          <w:rFonts w:asciiTheme="minorHAnsi" w:hAnsiTheme="minorHAnsi" w:cstheme="minorHAnsi"/>
          <w:b/>
          <w:color w:val="000000" w:themeColor="text1"/>
        </w:rPr>
      </w:pPr>
    </w:p>
    <w:p w14:paraId="0B7DD424" w14:textId="48121DF0" w:rsidR="00644BC2" w:rsidRPr="005E7DD1" w:rsidRDefault="00644BC2" w:rsidP="00644BC2">
      <w:pPr>
        <w:rPr>
          <w:rFonts w:asciiTheme="minorHAnsi" w:hAnsiTheme="minorHAnsi" w:cstheme="minorHAnsi"/>
          <w:b/>
          <w:color w:val="4472C4" w:themeColor="accent1"/>
        </w:rPr>
      </w:pPr>
      <w:r w:rsidRPr="005E7DD1">
        <w:rPr>
          <w:rFonts w:asciiTheme="minorHAnsi" w:hAnsiTheme="minorHAnsi" w:cstheme="minorHAnsi"/>
          <w:b/>
          <w:color w:val="4472C4" w:themeColor="accent1"/>
        </w:rPr>
        <w:t>Restriction on High Potency Products</w:t>
      </w:r>
      <w:r w:rsidR="009429F1" w:rsidRPr="005E7DD1">
        <w:rPr>
          <w:rFonts w:asciiTheme="minorHAnsi" w:hAnsiTheme="minorHAnsi" w:cstheme="minorHAnsi"/>
          <w:b/>
          <w:color w:val="4472C4" w:themeColor="accent1"/>
        </w:rPr>
        <w:t xml:space="preserve"> (</w:t>
      </w:r>
      <w:r w:rsidR="00F02335">
        <w:rPr>
          <w:rFonts w:asciiTheme="minorHAnsi" w:hAnsiTheme="minorHAnsi" w:cstheme="minorHAnsi"/>
          <w:b/>
          <w:color w:val="4472C4" w:themeColor="accent1"/>
        </w:rPr>
        <w:t>7</w:t>
      </w:r>
      <w:r w:rsidR="009429F1" w:rsidRPr="005E7DD1">
        <w:rPr>
          <w:rFonts w:asciiTheme="minorHAnsi" w:hAnsiTheme="minorHAnsi" w:cstheme="minorHAnsi"/>
          <w:b/>
          <w:color w:val="4472C4" w:themeColor="accent1"/>
        </w:rPr>
        <w:t xml:space="preserve"> points)</w:t>
      </w:r>
    </w:p>
    <w:p w14:paraId="5EE9D044" w14:textId="2935FBEA" w:rsidR="00644BC2" w:rsidRPr="005E7DD1" w:rsidRDefault="00644BC2" w:rsidP="00EA7BF8">
      <w:pPr>
        <w:jc w:val="both"/>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Description: </w:t>
      </w:r>
      <w:r w:rsidR="00101C11" w:rsidRPr="005E7DD1">
        <w:rPr>
          <w:rFonts w:asciiTheme="minorHAnsi" w:hAnsiTheme="minorHAnsi" w:cstheme="minorHAnsi"/>
          <w:color w:val="000000" w:themeColor="text1"/>
        </w:rPr>
        <w:t>Prohibiting the sale of cannabis flower and products that are considered high potency</w:t>
      </w:r>
      <w:r w:rsidR="0087429D">
        <w:rPr>
          <w:rFonts w:asciiTheme="minorHAnsi" w:hAnsiTheme="minorHAnsi" w:cstheme="minorHAnsi"/>
          <w:color w:val="000000" w:themeColor="text1"/>
        </w:rPr>
        <w:t xml:space="preserve"> in terms of concentration of THC</w:t>
      </w:r>
      <w:r w:rsidR="007505D0">
        <w:rPr>
          <w:rFonts w:asciiTheme="minorHAnsi" w:hAnsiTheme="minorHAnsi" w:cstheme="minorHAnsi"/>
          <w:color w:val="000000" w:themeColor="text1"/>
        </w:rPr>
        <w:t>, by establishing ceiling limits.</w:t>
      </w:r>
      <w:r w:rsidR="00F94D7B">
        <w:rPr>
          <w:rFonts w:asciiTheme="minorHAnsi" w:hAnsiTheme="minorHAnsi" w:cstheme="minorHAnsi"/>
          <w:color w:val="000000" w:themeColor="text1"/>
        </w:rPr>
        <w:t xml:space="preserve"> </w:t>
      </w:r>
    </w:p>
    <w:p w14:paraId="5B171EAA" w14:textId="210055FF" w:rsidR="00101C11" w:rsidRPr="005E7DD1" w:rsidRDefault="00101C11" w:rsidP="00644BC2">
      <w:pPr>
        <w:rPr>
          <w:rFonts w:asciiTheme="minorHAnsi" w:hAnsiTheme="minorHAnsi" w:cstheme="minorHAnsi"/>
          <w:color w:val="000000" w:themeColor="text1"/>
        </w:rPr>
      </w:pPr>
    </w:p>
    <w:p w14:paraId="24EFE33E" w14:textId="1709269B" w:rsidR="00101C11" w:rsidRPr="005E7DD1" w:rsidRDefault="00101C11" w:rsidP="00644BC2">
      <w:pPr>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State Law: </w:t>
      </w:r>
      <w:r w:rsidRPr="005E7DD1">
        <w:rPr>
          <w:rFonts w:asciiTheme="minorHAnsi" w:hAnsiTheme="minorHAnsi" w:cstheme="minorHAnsi"/>
          <w:color w:val="000000" w:themeColor="text1"/>
        </w:rPr>
        <w:t>None</w:t>
      </w:r>
      <w:r w:rsidR="007505D0">
        <w:rPr>
          <w:rFonts w:asciiTheme="minorHAnsi" w:hAnsiTheme="minorHAnsi" w:cstheme="minorHAnsi"/>
          <w:color w:val="000000" w:themeColor="text1"/>
        </w:rPr>
        <w:t>. The state allows the sale of products of any potency.</w:t>
      </w:r>
      <w:r w:rsidR="00E70B28">
        <w:rPr>
          <w:rFonts w:asciiTheme="minorHAnsi" w:hAnsiTheme="minorHAnsi" w:cstheme="minorHAnsi"/>
          <w:color w:val="000000" w:themeColor="text1"/>
        </w:rPr>
        <w:t xml:space="preserve"> Score: 0.</w:t>
      </w:r>
    </w:p>
    <w:p w14:paraId="09EDD319" w14:textId="03C829D2" w:rsidR="00101C11" w:rsidRPr="005E7DD1" w:rsidRDefault="00101C11" w:rsidP="00644BC2">
      <w:pPr>
        <w:rPr>
          <w:rFonts w:asciiTheme="minorHAnsi" w:hAnsiTheme="minorHAnsi" w:cstheme="minorHAnsi"/>
          <w:color w:val="000000" w:themeColor="text1"/>
        </w:rPr>
      </w:pPr>
    </w:p>
    <w:p w14:paraId="7540241E" w14:textId="617B7BE4" w:rsidR="00644BC2" w:rsidRPr="005E7DD1" w:rsidRDefault="00101C11" w:rsidP="00EA7BF8">
      <w:pPr>
        <w:jc w:val="both"/>
        <w:rPr>
          <w:rFonts w:asciiTheme="minorHAnsi" w:hAnsiTheme="minorHAnsi" w:cstheme="minorHAnsi"/>
          <w:b/>
          <w:color w:val="000000" w:themeColor="text1"/>
        </w:rPr>
      </w:pPr>
      <w:r w:rsidRPr="005E7DD1">
        <w:rPr>
          <w:rFonts w:asciiTheme="minorHAnsi" w:hAnsiTheme="minorHAnsi" w:cstheme="minorHAnsi"/>
          <w:b/>
          <w:color w:val="000000" w:themeColor="text1"/>
        </w:rPr>
        <w:lastRenderedPageBreak/>
        <w:t>Rationale</w:t>
      </w:r>
      <w:r w:rsidR="00AA18A0">
        <w:rPr>
          <w:rFonts w:asciiTheme="minorHAnsi" w:hAnsiTheme="minorHAnsi" w:cstheme="minorHAnsi"/>
          <w:b/>
          <w:color w:val="000000" w:themeColor="text1"/>
        </w:rPr>
        <w:t xml:space="preserve"> &amp; Points</w:t>
      </w:r>
      <w:r w:rsidRPr="005E7DD1">
        <w:rPr>
          <w:rFonts w:asciiTheme="minorHAnsi" w:hAnsiTheme="minorHAnsi" w:cstheme="minorHAnsi"/>
          <w:b/>
          <w:color w:val="000000" w:themeColor="text1"/>
        </w:rPr>
        <w:t xml:space="preserve">: </w:t>
      </w:r>
      <w:r w:rsidR="00644BC2" w:rsidRPr="005E7DD1">
        <w:rPr>
          <w:rFonts w:asciiTheme="minorHAnsi" w:hAnsiTheme="minorHAnsi" w:cstheme="minorHAnsi"/>
          <w:color w:val="000000" w:themeColor="text1"/>
        </w:rPr>
        <w:t xml:space="preserve">In the landmark decision in </w:t>
      </w:r>
      <w:r w:rsidR="00644BC2" w:rsidRPr="005E7DD1">
        <w:rPr>
          <w:rFonts w:asciiTheme="minorHAnsi" w:hAnsiTheme="minorHAnsi" w:cstheme="minorHAnsi"/>
          <w:i/>
          <w:color w:val="000000" w:themeColor="text1"/>
        </w:rPr>
        <w:t>US v Philip Morris</w:t>
      </w:r>
      <w:r w:rsidR="00644BC2" w:rsidRPr="005E7DD1">
        <w:rPr>
          <w:rFonts w:asciiTheme="minorHAnsi" w:hAnsiTheme="minorHAnsi" w:cstheme="minorHAnsi"/>
          <w:color w:val="000000" w:themeColor="text1"/>
        </w:rPr>
        <w:t xml:space="preserve">, </w:t>
      </w:r>
      <w:r w:rsidR="00644BC2" w:rsidRPr="005E7DD1">
        <w:rPr>
          <w:rFonts w:asciiTheme="minorHAnsi" w:hAnsiTheme="minorHAnsi" w:cstheme="minorHAnsi"/>
          <w:color w:val="000000" w:themeColor="text1"/>
          <w:shd w:val="clear" w:color="auto" w:fill="FFFFFF"/>
        </w:rPr>
        <w:t>449 F.Supp.2d 1 (D.D.C. 2006)</w:t>
      </w:r>
      <w:r w:rsidR="00E70B28">
        <w:rPr>
          <w:rFonts w:asciiTheme="minorHAnsi" w:hAnsiTheme="minorHAnsi" w:cstheme="minorHAnsi"/>
          <w:color w:val="000000" w:themeColor="text1"/>
          <w:shd w:val="clear" w:color="auto" w:fill="FFFFFF"/>
        </w:rPr>
        <w:t>,</w:t>
      </w:r>
      <w:r w:rsidR="00644BC2" w:rsidRPr="005E7DD1">
        <w:rPr>
          <w:rStyle w:val="FootnoteReference"/>
          <w:rFonts w:asciiTheme="minorHAnsi" w:hAnsiTheme="minorHAnsi" w:cstheme="minorHAnsi"/>
          <w:color w:val="000000" w:themeColor="text1"/>
          <w:shd w:val="clear" w:color="auto" w:fill="FFFFFF"/>
        </w:rPr>
        <w:footnoteReference w:id="43"/>
      </w:r>
      <w:r w:rsidR="00644BC2" w:rsidRPr="005E7DD1">
        <w:rPr>
          <w:rFonts w:asciiTheme="minorHAnsi" w:hAnsiTheme="minorHAnsi" w:cstheme="minorHAnsi"/>
          <w:color w:val="000000"/>
          <w:shd w:val="clear" w:color="auto" w:fill="FFFFFF"/>
        </w:rPr>
        <w:t xml:space="preserve"> Judge Kessler held tobacco companies liable for violating the Racketeer Influenced and Corrupt Organizations Act (RICO</w:t>
      </w:r>
      <w:r w:rsidR="007505D0">
        <w:rPr>
          <w:rFonts w:asciiTheme="minorHAnsi" w:hAnsiTheme="minorHAnsi" w:cstheme="minorHAnsi"/>
          <w:color w:val="000000"/>
          <w:shd w:val="clear" w:color="auto" w:fill="FFFFFF"/>
        </w:rPr>
        <w:t>)</w:t>
      </w:r>
      <w:r w:rsidR="00EC7497">
        <w:rPr>
          <w:rFonts w:asciiTheme="minorHAnsi" w:hAnsiTheme="minorHAnsi" w:cstheme="minorHAnsi"/>
          <w:color w:val="000000"/>
          <w:shd w:val="clear" w:color="auto" w:fill="FFFFFF"/>
        </w:rPr>
        <w:t xml:space="preserve"> finding that</w:t>
      </w:r>
      <w:r w:rsidR="007505D0" w:rsidRPr="007505D0">
        <w:rPr>
          <w:rFonts w:asciiTheme="minorHAnsi" w:hAnsiTheme="minorHAnsi" w:cstheme="minorHAnsi"/>
          <w:i/>
          <w:iCs/>
          <w:color w:val="000000"/>
          <w:shd w:val="clear" w:color="auto" w:fill="FFFFFF"/>
        </w:rPr>
        <w:t xml:space="preserve"> </w:t>
      </w:r>
      <w:r w:rsidR="007505D0">
        <w:rPr>
          <w:rFonts w:asciiTheme="minorHAnsi" w:hAnsiTheme="minorHAnsi" w:cstheme="minorHAnsi"/>
          <w:i/>
          <w:iCs/>
          <w:color w:val="000000"/>
          <w:shd w:val="clear" w:color="auto" w:fill="FFFFFF"/>
        </w:rPr>
        <w:t>”t</w:t>
      </w:r>
      <w:r w:rsidR="007505D0" w:rsidRPr="007505D0">
        <w:rPr>
          <w:rFonts w:asciiTheme="minorHAnsi" w:hAnsiTheme="minorHAnsi" w:cstheme="minorHAnsi"/>
          <w:i/>
          <w:iCs/>
          <w:color w:val="000000"/>
          <w:shd w:val="clear" w:color="auto" w:fill="FFFFFF"/>
        </w:rPr>
        <w:t>obacco company profits, depend on creating and sustaining that addiction…..</w:t>
      </w:r>
      <w:r w:rsidR="00EC7497">
        <w:rPr>
          <w:rFonts w:asciiTheme="minorHAnsi" w:hAnsiTheme="minorHAnsi" w:cstheme="minorHAnsi"/>
          <w:i/>
          <w:iCs/>
          <w:color w:val="000000"/>
          <w:shd w:val="clear" w:color="auto" w:fill="FFFFFF"/>
        </w:rPr>
        <w:t>[and that]</w:t>
      </w:r>
      <w:r w:rsidR="00E70B28">
        <w:rPr>
          <w:rFonts w:asciiTheme="minorHAnsi" w:hAnsiTheme="minorHAnsi" w:cstheme="minorHAnsi"/>
          <w:i/>
          <w:iCs/>
          <w:color w:val="000000"/>
          <w:shd w:val="clear" w:color="auto" w:fill="FFFFFF"/>
        </w:rPr>
        <w:t xml:space="preserve"> </w:t>
      </w:r>
      <w:r w:rsidR="007505D0" w:rsidRPr="007505D0">
        <w:rPr>
          <w:rFonts w:asciiTheme="minorHAnsi" w:hAnsiTheme="minorHAnsi" w:cstheme="minorHAnsi"/>
          <w:i/>
          <w:iCs/>
          <w:color w:val="000000"/>
          <w:shd w:val="clear" w:color="auto" w:fill="FFFFFF"/>
        </w:rPr>
        <w:t>Defendants have designed their cigarettes to precisely control nicotine delivery levels and provide doses of nicotine sufficient to create and sustain addiction</w:t>
      </w:r>
      <w:r w:rsidR="00CF406B">
        <w:rPr>
          <w:rFonts w:asciiTheme="minorHAnsi" w:hAnsiTheme="minorHAnsi" w:cstheme="minorHAnsi"/>
          <w:i/>
          <w:iCs/>
          <w:color w:val="000000"/>
          <w:shd w:val="clear" w:color="auto" w:fill="FFFFFF"/>
        </w:rPr>
        <w:t>.</w:t>
      </w:r>
      <w:r w:rsidR="00E70B28">
        <w:rPr>
          <w:rFonts w:asciiTheme="minorHAnsi" w:hAnsiTheme="minorHAnsi" w:cstheme="minorHAnsi"/>
          <w:i/>
          <w:iCs/>
          <w:color w:val="000000"/>
          <w:shd w:val="clear" w:color="auto" w:fill="FFFFFF"/>
        </w:rPr>
        <w:t>”</w:t>
      </w:r>
      <w:r w:rsidR="00F94D7B">
        <w:rPr>
          <w:rFonts w:asciiTheme="minorHAnsi" w:hAnsiTheme="minorHAnsi" w:cstheme="minorHAnsi"/>
          <w:color w:val="000000"/>
          <w:shd w:val="clear" w:color="auto" w:fill="FFFFFF"/>
        </w:rPr>
        <w:t xml:space="preserve"> </w:t>
      </w:r>
      <w:r w:rsidR="00644BC2" w:rsidRPr="005E7DD1">
        <w:rPr>
          <w:rFonts w:asciiTheme="minorHAnsi" w:hAnsiTheme="minorHAnsi" w:cstheme="minorHAnsi"/>
          <w:color w:val="000000" w:themeColor="text1"/>
        </w:rPr>
        <w:t xml:space="preserve">Sadly, but not surprisingly, the cannabis industry is following suit. Over the past quarter century, the concentration of </w:t>
      </w:r>
      <w:r w:rsidR="00E70B28">
        <w:rPr>
          <w:rFonts w:asciiTheme="minorHAnsi" w:hAnsiTheme="minorHAnsi" w:cstheme="minorHAnsi"/>
          <w:color w:val="000000" w:themeColor="text1"/>
        </w:rPr>
        <w:t>THC</w:t>
      </w:r>
      <w:r w:rsidR="00644BC2" w:rsidRPr="005E7DD1">
        <w:rPr>
          <w:rFonts w:asciiTheme="minorHAnsi" w:hAnsiTheme="minorHAnsi" w:cstheme="minorHAnsi"/>
          <w:color w:val="000000" w:themeColor="text1"/>
        </w:rPr>
        <w:t xml:space="preserve">, the main psychoactive component of cannabis, has been systematically increased from approximately 3% to levels as high as 28% or more in flower. In addition, the market has now been flooded with a large number of ultra-high potency concentrates </w:t>
      </w:r>
      <w:r w:rsidR="00FB0E78">
        <w:rPr>
          <w:rFonts w:asciiTheme="minorHAnsi" w:hAnsiTheme="minorHAnsi" w:cstheme="minorHAnsi"/>
          <w:color w:val="000000" w:themeColor="text1"/>
        </w:rPr>
        <w:t xml:space="preserve">of 50-90+% THC </w:t>
      </w:r>
      <w:r w:rsidR="00644BC2" w:rsidRPr="005E7DD1">
        <w:rPr>
          <w:rFonts w:asciiTheme="minorHAnsi" w:hAnsiTheme="minorHAnsi" w:cstheme="minorHAnsi"/>
          <w:color w:val="000000" w:themeColor="text1"/>
        </w:rPr>
        <w:t xml:space="preserve">whose safety is of deep concern. Some varieties of high potency cannabis concentrate include “oil,” “wax,” and “dabs” </w:t>
      </w:r>
      <w:r w:rsidR="00644BC2" w:rsidRPr="005E7DD1">
        <w:rPr>
          <w:rFonts w:asciiTheme="minorHAnsi" w:hAnsiTheme="minorHAnsi" w:cstheme="minorHAnsi"/>
        </w:rPr>
        <w:t xml:space="preserve">typically created by butane </w:t>
      </w:r>
      <w:r w:rsidR="00FB0E78">
        <w:rPr>
          <w:rFonts w:asciiTheme="minorHAnsi" w:hAnsiTheme="minorHAnsi" w:cstheme="minorHAnsi"/>
        </w:rPr>
        <w:t xml:space="preserve">or other </w:t>
      </w:r>
      <w:r w:rsidR="00644BC2" w:rsidRPr="005E7DD1">
        <w:rPr>
          <w:rFonts w:asciiTheme="minorHAnsi" w:hAnsiTheme="minorHAnsi" w:cstheme="minorHAnsi"/>
        </w:rPr>
        <w:t>extraction</w:t>
      </w:r>
      <w:r w:rsidR="007505D0">
        <w:rPr>
          <w:rFonts w:asciiTheme="minorHAnsi" w:hAnsiTheme="minorHAnsi" w:cstheme="minorHAnsi"/>
        </w:rPr>
        <w:t xml:space="preserve"> or distillation</w:t>
      </w:r>
      <w:r w:rsidR="00644BC2" w:rsidRPr="005E7DD1">
        <w:rPr>
          <w:rFonts w:asciiTheme="minorHAnsi" w:hAnsiTheme="minorHAnsi" w:cstheme="minorHAnsi"/>
        </w:rPr>
        <w:t>.</w:t>
      </w:r>
      <w:r w:rsidR="00644BC2" w:rsidRPr="005E7DD1">
        <w:rPr>
          <w:rStyle w:val="FootnoteReference"/>
          <w:rFonts w:asciiTheme="minorHAnsi" w:hAnsiTheme="minorHAnsi" w:cstheme="minorHAnsi"/>
        </w:rPr>
        <w:footnoteReference w:id="44"/>
      </w:r>
      <w:r w:rsidR="007A6306">
        <w:rPr>
          <w:rFonts w:asciiTheme="minorHAnsi" w:hAnsiTheme="minorHAnsi" w:cstheme="minorHAnsi"/>
        </w:rPr>
        <w:t xml:space="preserve"> </w:t>
      </w:r>
      <w:r w:rsidR="00644BC2" w:rsidRPr="005E7DD1">
        <w:rPr>
          <w:rFonts w:asciiTheme="minorHAnsi" w:hAnsiTheme="minorHAnsi" w:cstheme="minorHAnsi"/>
        </w:rPr>
        <w:t>Published case reports have shown that high potency products are associated</w:t>
      </w:r>
      <w:r w:rsidR="00FB0E78">
        <w:rPr>
          <w:rFonts w:asciiTheme="minorHAnsi" w:hAnsiTheme="minorHAnsi" w:cstheme="minorHAnsi"/>
        </w:rPr>
        <w:t>, for example,</w:t>
      </w:r>
      <w:r w:rsidR="003B6C8F">
        <w:rPr>
          <w:rFonts w:asciiTheme="minorHAnsi" w:hAnsiTheme="minorHAnsi" w:cstheme="minorHAnsi"/>
        </w:rPr>
        <w:t xml:space="preserve"> </w:t>
      </w:r>
      <w:r w:rsidR="00644BC2" w:rsidRPr="005E7DD1">
        <w:rPr>
          <w:rFonts w:asciiTheme="minorHAnsi" w:hAnsiTheme="minorHAnsi" w:cstheme="minorHAnsi"/>
        </w:rPr>
        <w:t>with “significant psychosis, neurotoxicity, and cardiotoxicity associated with dabs.”</w:t>
      </w:r>
      <w:r w:rsidR="00644BC2" w:rsidRPr="005E7DD1">
        <w:rPr>
          <w:rStyle w:val="FootnoteReference"/>
          <w:rFonts w:asciiTheme="minorHAnsi" w:hAnsiTheme="minorHAnsi" w:cstheme="minorHAnsi"/>
        </w:rPr>
        <w:footnoteReference w:id="45"/>
      </w:r>
      <w:r w:rsidR="00644BC2" w:rsidRPr="005E7DD1">
        <w:rPr>
          <w:rFonts w:asciiTheme="minorHAnsi" w:hAnsiTheme="minorHAnsi" w:cstheme="minorHAnsi"/>
        </w:rPr>
        <w:t xml:space="preserve"> Concentrates are also known to cause </w:t>
      </w:r>
      <w:r w:rsidR="00644BC2" w:rsidRPr="005E7DD1">
        <w:rPr>
          <w:rFonts w:asciiTheme="minorHAnsi" w:hAnsiTheme="minorHAnsi" w:cstheme="minorHAnsi"/>
          <w:color w:val="000000" w:themeColor="text1"/>
        </w:rPr>
        <w:t>psychotic reactions in some and severe unpleasant highs in others.</w:t>
      </w:r>
      <w:r w:rsidR="00644BC2" w:rsidRPr="005E7DD1">
        <w:rPr>
          <w:rStyle w:val="FootnoteReference"/>
          <w:rFonts w:asciiTheme="minorHAnsi" w:hAnsiTheme="minorHAnsi" w:cstheme="minorHAnsi"/>
          <w:color w:val="000000" w:themeColor="text1"/>
        </w:rPr>
        <w:footnoteReference w:id="46"/>
      </w:r>
      <w:r w:rsidR="00644BC2" w:rsidRPr="005E7DD1">
        <w:rPr>
          <w:rFonts w:asciiTheme="minorHAnsi" w:hAnsiTheme="minorHAnsi" w:cstheme="minorHAnsi"/>
          <w:color w:val="000000" w:themeColor="text1"/>
        </w:rPr>
        <w:t xml:space="preserve"> Consumption of higher potency products also corresponds over time to major upsurges in care seeking behavior for cannabis dependency, now the leading substance of abuse for seeking care</w:t>
      </w:r>
      <w:r w:rsidR="005D30A2" w:rsidRPr="005D30A2">
        <w:rPr>
          <w:rFonts w:asciiTheme="minorHAnsi" w:hAnsiTheme="minorHAnsi" w:cstheme="minorHAnsi"/>
          <w:color w:val="000000" w:themeColor="text1"/>
        </w:rPr>
        <w:t xml:space="preserve"> </w:t>
      </w:r>
      <w:r w:rsidR="005D30A2" w:rsidRPr="005E7DD1">
        <w:rPr>
          <w:rFonts w:asciiTheme="minorHAnsi" w:hAnsiTheme="minorHAnsi" w:cstheme="minorHAnsi"/>
          <w:color w:val="000000" w:themeColor="text1"/>
        </w:rPr>
        <w:t>in Europe</w:t>
      </w:r>
      <w:r w:rsidR="00644BC2" w:rsidRPr="005E7DD1">
        <w:rPr>
          <w:rFonts w:asciiTheme="minorHAnsi" w:hAnsiTheme="minorHAnsi" w:cstheme="minorHAnsi"/>
          <w:color w:val="000000" w:themeColor="text1"/>
        </w:rPr>
        <w:t>.</w:t>
      </w:r>
      <w:r w:rsidR="00644BC2" w:rsidRPr="005E7DD1">
        <w:rPr>
          <w:rStyle w:val="FootnoteReference"/>
          <w:rFonts w:asciiTheme="minorHAnsi" w:hAnsiTheme="minorHAnsi" w:cstheme="minorHAnsi"/>
          <w:color w:val="000000" w:themeColor="text1"/>
        </w:rPr>
        <w:footnoteReference w:id="47"/>
      </w:r>
      <w:r w:rsidR="007A6306">
        <w:rPr>
          <w:rFonts w:asciiTheme="minorHAnsi" w:hAnsiTheme="minorHAnsi" w:cstheme="minorHAnsi"/>
          <w:color w:val="000000" w:themeColor="text1"/>
        </w:rPr>
        <w:t xml:space="preserve"> </w:t>
      </w:r>
      <w:r w:rsidR="00644BC2" w:rsidRPr="005E7DD1">
        <w:rPr>
          <w:rFonts w:asciiTheme="minorHAnsi" w:hAnsiTheme="minorHAnsi" w:cstheme="minorHAnsi"/>
          <w:color w:val="000000" w:themeColor="text1"/>
        </w:rPr>
        <w:t>Because the dangers of high potency products are becoming more clear, jurisdictions that place limits on potency in flower and in cannabis products are awarded s</w:t>
      </w:r>
      <w:r w:rsidR="00F02335">
        <w:rPr>
          <w:rFonts w:asciiTheme="minorHAnsi" w:hAnsiTheme="minorHAnsi" w:cstheme="minorHAnsi"/>
          <w:color w:val="000000" w:themeColor="text1"/>
        </w:rPr>
        <w:t>even</w:t>
      </w:r>
      <w:r w:rsidR="00644BC2" w:rsidRPr="005E7DD1">
        <w:rPr>
          <w:rFonts w:asciiTheme="minorHAnsi" w:hAnsiTheme="minorHAnsi" w:cstheme="minorHAnsi"/>
          <w:color w:val="000000" w:themeColor="text1"/>
        </w:rPr>
        <w:t xml:space="preserve"> points.</w:t>
      </w:r>
      <w:r w:rsidR="003B6C8F">
        <w:rPr>
          <w:rFonts w:asciiTheme="minorHAnsi" w:hAnsiTheme="minorHAnsi" w:cstheme="minorHAnsi"/>
          <w:color w:val="000000" w:themeColor="text1"/>
        </w:rPr>
        <w:t xml:space="preserve"> </w:t>
      </w:r>
      <w:r w:rsidR="00FB0E78">
        <w:rPr>
          <w:rFonts w:asciiTheme="minorHAnsi" w:hAnsiTheme="minorHAnsi" w:cstheme="minorHAnsi"/>
          <w:color w:val="000000" w:themeColor="text1"/>
        </w:rPr>
        <w:t>Quebec, for example, limited products to 30% THC.</w:t>
      </w:r>
    </w:p>
    <w:p w14:paraId="38B69832" w14:textId="77777777" w:rsidR="00644BC2" w:rsidRPr="005E7DD1" w:rsidRDefault="00644BC2" w:rsidP="00644BC2">
      <w:pPr>
        <w:jc w:val="both"/>
        <w:rPr>
          <w:rFonts w:asciiTheme="minorHAnsi" w:hAnsiTheme="minorHAnsi" w:cstheme="minorHAnsi"/>
        </w:rPr>
      </w:pPr>
    </w:p>
    <w:p w14:paraId="4FF99566" w14:textId="323A2864" w:rsidR="00644BC2" w:rsidRPr="00CF406B" w:rsidRDefault="00644BC2" w:rsidP="00644BC2">
      <w:pPr>
        <w:jc w:val="both"/>
        <w:rPr>
          <w:rFonts w:asciiTheme="minorHAnsi" w:hAnsiTheme="minorHAnsi" w:cstheme="minorHAnsi"/>
          <w:b/>
          <w:color w:val="4472C4" w:themeColor="accent1"/>
          <w:lang w:val="fr-FR"/>
        </w:rPr>
      </w:pPr>
      <w:r w:rsidRPr="00CF406B">
        <w:rPr>
          <w:rFonts w:asciiTheme="minorHAnsi" w:hAnsiTheme="minorHAnsi" w:cstheme="minorHAnsi"/>
          <w:b/>
          <w:color w:val="4472C4" w:themeColor="accent1"/>
          <w:lang w:val="fr-FR"/>
        </w:rPr>
        <w:t xml:space="preserve">Ban on </w:t>
      </w:r>
      <w:proofErr w:type="spellStart"/>
      <w:r w:rsidRPr="00CF406B">
        <w:rPr>
          <w:rFonts w:asciiTheme="minorHAnsi" w:hAnsiTheme="minorHAnsi" w:cstheme="minorHAnsi"/>
          <w:b/>
          <w:color w:val="4472C4" w:themeColor="accent1"/>
          <w:lang w:val="fr-FR"/>
        </w:rPr>
        <w:t>Flavors</w:t>
      </w:r>
      <w:proofErr w:type="spellEnd"/>
      <w:r w:rsidRPr="00CF406B">
        <w:rPr>
          <w:rFonts w:asciiTheme="minorHAnsi" w:hAnsiTheme="minorHAnsi" w:cstheme="minorHAnsi"/>
          <w:b/>
          <w:color w:val="4472C4" w:themeColor="accent1"/>
          <w:lang w:val="fr-FR"/>
        </w:rPr>
        <w:t xml:space="preserve"> (Non-</w:t>
      </w:r>
      <w:proofErr w:type="spellStart"/>
      <w:r w:rsidRPr="00CF406B">
        <w:rPr>
          <w:rFonts w:asciiTheme="minorHAnsi" w:hAnsiTheme="minorHAnsi" w:cstheme="minorHAnsi"/>
          <w:b/>
          <w:color w:val="4472C4" w:themeColor="accent1"/>
          <w:lang w:val="fr-FR"/>
        </w:rPr>
        <w:t>Edibles</w:t>
      </w:r>
      <w:proofErr w:type="spellEnd"/>
      <w:r w:rsidRPr="00CF406B">
        <w:rPr>
          <w:rFonts w:asciiTheme="minorHAnsi" w:hAnsiTheme="minorHAnsi" w:cstheme="minorHAnsi"/>
          <w:b/>
          <w:color w:val="4472C4" w:themeColor="accent1"/>
          <w:lang w:val="fr-FR"/>
        </w:rPr>
        <w:t>) (6 points)</w:t>
      </w:r>
    </w:p>
    <w:p w14:paraId="7C2C63C9" w14:textId="0651D715" w:rsidR="009429F1" w:rsidRPr="005E7DD1" w:rsidRDefault="009429F1" w:rsidP="00644BC2">
      <w:pPr>
        <w:jc w:val="both"/>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Description: </w:t>
      </w:r>
      <w:r w:rsidRPr="005E7DD1">
        <w:rPr>
          <w:rFonts w:asciiTheme="minorHAnsi" w:hAnsiTheme="minorHAnsi" w:cstheme="minorHAnsi"/>
          <w:color w:val="000000" w:themeColor="text1"/>
        </w:rPr>
        <w:t xml:space="preserve">Prohibiting the retail sale of flavored inhalable (non-edible) products. </w:t>
      </w:r>
    </w:p>
    <w:p w14:paraId="0CB4E44C" w14:textId="12A6FCC5" w:rsidR="009429F1" w:rsidRPr="005E7DD1" w:rsidRDefault="009429F1" w:rsidP="00644BC2">
      <w:pPr>
        <w:jc w:val="both"/>
        <w:rPr>
          <w:rFonts w:asciiTheme="minorHAnsi" w:hAnsiTheme="minorHAnsi" w:cstheme="minorHAnsi"/>
          <w:b/>
          <w:color w:val="000000" w:themeColor="text1"/>
        </w:rPr>
      </w:pPr>
    </w:p>
    <w:p w14:paraId="2B3BDE25" w14:textId="053FCFB4" w:rsidR="009429F1" w:rsidRPr="005E7DD1" w:rsidRDefault="009429F1" w:rsidP="00644BC2">
      <w:pPr>
        <w:jc w:val="both"/>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State Law: </w:t>
      </w:r>
      <w:r w:rsidRPr="005E7DD1">
        <w:rPr>
          <w:rFonts w:asciiTheme="minorHAnsi" w:hAnsiTheme="minorHAnsi" w:cstheme="minorHAnsi"/>
          <w:color w:val="000000" w:themeColor="text1"/>
        </w:rPr>
        <w:t>None</w:t>
      </w:r>
      <w:r w:rsidR="00F26CEC">
        <w:rPr>
          <w:rFonts w:asciiTheme="minorHAnsi" w:hAnsiTheme="minorHAnsi" w:cstheme="minorHAnsi"/>
          <w:color w:val="000000" w:themeColor="text1"/>
        </w:rPr>
        <w:t xml:space="preserve">. </w:t>
      </w:r>
      <w:r w:rsidR="005D30A2">
        <w:rPr>
          <w:rFonts w:asciiTheme="minorHAnsi" w:hAnsiTheme="minorHAnsi" w:cstheme="minorHAnsi"/>
          <w:color w:val="000000" w:themeColor="text1"/>
        </w:rPr>
        <w:t>Score: 0.</w:t>
      </w:r>
    </w:p>
    <w:p w14:paraId="300E0F03" w14:textId="2662BCA2" w:rsidR="009429F1" w:rsidRPr="005E7DD1" w:rsidRDefault="009429F1" w:rsidP="00644BC2">
      <w:pPr>
        <w:jc w:val="both"/>
        <w:rPr>
          <w:rFonts w:asciiTheme="minorHAnsi" w:hAnsiTheme="minorHAnsi" w:cstheme="minorHAnsi"/>
          <w:color w:val="000000" w:themeColor="text1"/>
        </w:rPr>
      </w:pPr>
    </w:p>
    <w:p w14:paraId="34E53EBA" w14:textId="6EEBB4E9" w:rsidR="00644BC2" w:rsidRPr="005E7DD1" w:rsidRDefault="009429F1" w:rsidP="00644BC2">
      <w:pPr>
        <w:jc w:val="both"/>
        <w:rPr>
          <w:rFonts w:asciiTheme="minorHAnsi" w:hAnsiTheme="minorHAnsi" w:cstheme="minorHAnsi"/>
          <w:b/>
          <w:color w:val="000000" w:themeColor="text1"/>
        </w:rPr>
      </w:pPr>
      <w:r w:rsidRPr="005E7DD1">
        <w:rPr>
          <w:rFonts w:asciiTheme="minorHAnsi" w:hAnsiTheme="minorHAnsi" w:cstheme="minorHAnsi"/>
          <w:b/>
          <w:color w:val="000000" w:themeColor="text1"/>
        </w:rPr>
        <w:t>Rationale</w:t>
      </w:r>
      <w:r w:rsidR="00AA18A0">
        <w:rPr>
          <w:rFonts w:asciiTheme="minorHAnsi" w:hAnsiTheme="minorHAnsi" w:cstheme="minorHAnsi"/>
          <w:b/>
          <w:color w:val="000000" w:themeColor="text1"/>
        </w:rPr>
        <w:t xml:space="preserve"> &amp; Points</w:t>
      </w:r>
      <w:r w:rsidRPr="005E7DD1">
        <w:rPr>
          <w:rFonts w:asciiTheme="minorHAnsi" w:hAnsiTheme="minorHAnsi" w:cstheme="minorHAnsi"/>
          <w:b/>
          <w:color w:val="000000" w:themeColor="text1"/>
        </w:rPr>
        <w:t xml:space="preserve">: </w:t>
      </w:r>
      <w:r w:rsidR="00644BC2" w:rsidRPr="005E7DD1">
        <w:rPr>
          <w:rFonts w:asciiTheme="minorHAnsi" w:hAnsiTheme="minorHAnsi" w:cstheme="minorHAnsi"/>
          <w:color w:val="000000" w:themeColor="text1"/>
        </w:rPr>
        <w:t>Flavored products are a key tool for attracting young smokers to tobacco,</w:t>
      </w:r>
      <w:r w:rsidR="00644BC2" w:rsidRPr="005E7DD1">
        <w:rPr>
          <w:rStyle w:val="FootnoteReference"/>
          <w:rFonts w:asciiTheme="minorHAnsi" w:hAnsiTheme="minorHAnsi" w:cstheme="minorHAnsi"/>
          <w:color w:val="000000" w:themeColor="text1"/>
        </w:rPr>
        <w:footnoteReference w:id="48"/>
      </w:r>
      <w:r w:rsidR="00644BC2" w:rsidRPr="005E7DD1">
        <w:rPr>
          <w:rFonts w:asciiTheme="minorHAnsi" w:hAnsiTheme="minorHAnsi" w:cstheme="minorHAnsi"/>
          <w:color w:val="000000" w:themeColor="text1"/>
          <w:vertAlign w:val="superscript"/>
        </w:rPr>
        <w:t>,</w:t>
      </w:r>
      <w:r w:rsidR="00644BC2" w:rsidRPr="005E7DD1">
        <w:rPr>
          <w:rStyle w:val="FootnoteReference"/>
          <w:rFonts w:asciiTheme="minorHAnsi" w:hAnsiTheme="minorHAnsi" w:cstheme="minorHAnsi"/>
          <w:color w:val="000000" w:themeColor="text1"/>
        </w:rPr>
        <w:footnoteReference w:id="49"/>
      </w:r>
      <w:r w:rsidR="00644BC2" w:rsidRPr="005E7DD1">
        <w:rPr>
          <w:rFonts w:asciiTheme="minorHAnsi" w:hAnsiTheme="minorHAnsi" w:cstheme="minorHAnsi"/>
          <w:color w:val="000000" w:themeColor="text1"/>
          <w:vertAlign w:val="superscript"/>
        </w:rPr>
        <w:t>,</w:t>
      </w:r>
      <w:r w:rsidR="00644BC2" w:rsidRPr="005E7DD1">
        <w:rPr>
          <w:rStyle w:val="FootnoteReference"/>
          <w:rFonts w:asciiTheme="minorHAnsi" w:hAnsiTheme="minorHAnsi" w:cstheme="minorHAnsi"/>
          <w:color w:val="000000" w:themeColor="text1"/>
        </w:rPr>
        <w:footnoteReference w:id="50"/>
      </w:r>
      <w:r w:rsidR="00644BC2" w:rsidRPr="005E7DD1">
        <w:rPr>
          <w:rFonts w:asciiTheme="minorHAnsi" w:hAnsiTheme="minorHAnsi" w:cstheme="minorHAnsi"/>
          <w:color w:val="000000" w:themeColor="text1"/>
        </w:rPr>
        <w:t xml:space="preserve"> and e-cigarettes.</w:t>
      </w:r>
      <w:r w:rsidR="00644BC2" w:rsidRPr="005E7DD1">
        <w:rPr>
          <w:rStyle w:val="FootnoteReference"/>
          <w:rFonts w:asciiTheme="minorHAnsi" w:hAnsiTheme="minorHAnsi" w:cstheme="minorHAnsi"/>
          <w:color w:val="000000" w:themeColor="text1"/>
        </w:rPr>
        <w:footnoteReference w:id="51"/>
      </w:r>
      <w:r w:rsidR="00644BC2" w:rsidRPr="005E7DD1">
        <w:rPr>
          <w:rFonts w:asciiTheme="minorHAnsi" w:hAnsiTheme="minorHAnsi" w:cstheme="minorHAnsi"/>
          <w:color w:val="000000" w:themeColor="text1"/>
          <w:vertAlign w:val="superscript"/>
        </w:rPr>
        <w:t>,</w:t>
      </w:r>
      <w:r w:rsidR="00644BC2" w:rsidRPr="005E7DD1">
        <w:rPr>
          <w:rStyle w:val="FootnoteReference"/>
          <w:rFonts w:asciiTheme="minorHAnsi" w:hAnsiTheme="minorHAnsi" w:cstheme="minorHAnsi"/>
          <w:color w:val="000000" w:themeColor="text1"/>
        </w:rPr>
        <w:footnoteReference w:id="52"/>
      </w:r>
      <w:r w:rsidR="00644BC2" w:rsidRPr="005E7DD1">
        <w:rPr>
          <w:rFonts w:asciiTheme="minorHAnsi" w:hAnsiTheme="minorHAnsi" w:cstheme="minorHAnsi"/>
          <w:color w:val="000000" w:themeColor="text1"/>
        </w:rPr>
        <w:t xml:space="preserve"> Most adolescent tobacco and e-cigarette users currently use </w:t>
      </w:r>
      <w:r w:rsidR="00644BC2" w:rsidRPr="005E7DD1">
        <w:rPr>
          <w:rFonts w:asciiTheme="minorHAnsi" w:hAnsiTheme="minorHAnsi" w:cstheme="minorHAnsi"/>
          <w:color w:val="000000" w:themeColor="text1"/>
        </w:rPr>
        <w:lastRenderedPageBreak/>
        <w:t>and initiated with flavored products.</w:t>
      </w:r>
      <w:r w:rsidR="00644BC2" w:rsidRPr="005E7DD1">
        <w:rPr>
          <w:rStyle w:val="FootnoteReference"/>
          <w:rFonts w:asciiTheme="minorHAnsi" w:hAnsiTheme="minorHAnsi" w:cstheme="minorHAnsi"/>
          <w:color w:val="000000" w:themeColor="text1"/>
        </w:rPr>
        <w:footnoteReference w:id="53"/>
      </w:r>
      <w:r w:rsidR="00644BC2" w:rsidRPr="005E7DD1">
        <w:rPr>
          <w:rFonts w:asciiTheme="minorHAnsi" w:hAnsiTheme="minorHAnsi" w:cstheme="minorHAnsi"/>
          <w:color w:val="000000" w:themeColor="text1"/>
        </w:rPr>
        <w:t xml:space="preserve"> Disguising unpleasant tastes with flavors to attract young users is a tobacco industry strategy that could easily repeat for manufactured cannabis products absent strong regulations. The FDA’s 2009 ban on cigarettes with characterizing flavors (authorized by the Family Smoking Prevention and Tobacco Control Act) was followed by a decrease in adolescent tobacco use and substantial reductions in the probability of being a cigarette smoker and in cigarettes smoked among adolescents.</w:t>
      </w:r>
      <w:r w:rsidR="00644BC2" w:rsidRPr="005E7DD1">
        <w:rPr>
          <w:rStyle w:val="FootnoteReference"/>
          <w:rFonts w:asciiTheme="minorHAnsi" w:hAnsiTheme="minorHAnsi" w:cstheme="minorHAnsi"/>
          <w:color w:val="000000" w:themeColor="text1"/>
        </w:rPr>
        <w:footnoteReference w:id="54"/>
      </w:r>
      <w:r w:rsidR="00644BC2" w:rsidRPr="005E7DD1">
        <w:rPr>
          <w:rFonts w:asciiTheme="minorHAnsi" w:hAnsiTheme="minorHAnsi" w:cstheme="minorHAnsi"/>
          <w:color w:val="000000" w:themeColor="text1"/>
        </w:rPr>
        <w:t xml:space="preserve"> Because the final 2009 ban controversially failed to include menthol cigarettes or flavored non-cigarette tobacco, increased use of cigars, pipes, and menthol cigarettes limited the impact on adolescent tobacco use.</w:t>
      </w:r>
      <w:r w:rsidR="00F26CEC">
        <w:rPr>
          <w:rFonts w:asciiTheme="minorHAnsi" w:hAnsiTheme="minorHAnsi" w:cstheme="minorHAnsi"/>
          <w:color w:val="000000" w:themeColor="text1"/>
        </w:rPr>
        <w:t xml:space="preserve"> In December 2019, in the midst of the national vaping epidemic</w:t>
      </w:r>
      <w:r w:rsidR="00F94D7B">
        <w:rPr>
          <w:rFonts w:asciiTheme="minorHAnsi" w:hAnsiTheme="minorHAnsi" w:cstheme="minorHAnsi"/>
          <w:color w:val="000000" w:themeColor="text1"/>
        </w:rPr>
        <w:t xml:space="preserve"> </w:t>
      </w:r>
      <w:r w:rsidR="00F26CEC">
        <w:rPr>
          <w:rFonts w:asciiTheme="minorHAnsi" w:hAnsiTheme="minorHAnsi" w:cstheme="minorHAnsi"/>
          <w:color w:val="000000" w:themeColor="text1"/>
        </w:rPr>
        <w:t>the FDA issued new guidance prioritizing enforcement against flavored nicotine vaping products with the exception of menthol, but it did not act on THC products, which are all illegal under federal law. Several states also acted to prohibit flavored cannabis products for inhalation</w:t>
      </w:r>
      <w:r w:rsidR="00EC7497">
        <w:rPr>
          <w:rFonts w:asciiTheme="minorHAnsi" w:hAnsiTheme="minorHAnsi" w:cstheme="minorHAnsi"/>
          <w:color w:val="000000" w:themeColor="text1"/>
        </w:rPr>
        <w:t>, including</w:t>
      </w:r>
      <w:r w:rsidR="008C70EE">
        <w:rPr>
          <w:rFonts w:asciiTheme="minorHAnsi" w:hAnsiTheme="minorHAnsi" w:cstheme="minorHAnsi"/>
          <w:color w:val="000000" w:themeColor="text1"/>
          <w:u w:val="single"/>
        </w:rPr>
        <w:t xml:space="preserve"> </w:t>
      </w:r>
      <w:r w:rsidR="00BA37DD">
        <w:rPr>
          <w:rFonts w:asciiTheme="minorHAnsi" w:hAnsiTheme="minorHAnsi" w:cstheme="minorHAnsi"/>
          <w:color w:val="000000" w:themeColor="text1"/>
        </w:rPr>
        <w:t>Montana</w:t>
      </w:r>
      <w:r w:rsidR="00181DD4">
        <w:rPr>
          <w:rFonts w:asciiTheme="minorHAnsi" w:hAnsiTheme="minorHAnsi" w:cstheme="minorHAnsi"/>
          <w:color w:val="000000" w:themeColor="text1"/>
        </w:rPr>
        <w:t xml:space="preserve"> and Washington.</w:t>
      </w:r>
      <w:r w:rsidR="00BA37DD">
        <w:rPr>
          <w:rFonts w:asciiTheme="minorHAnsi" w:hAnsiTheme="minorHAnsi" w:cstheme="minorHAnsi"/>
          <w:color w:val="000000" w:themeColor="text1"/>
        </w:rPr>
        <w:t xml:space="preserve"> </w:t>
      </w:r>
      <w:r w:rsidR="00644BC2" w:rsidRPr="005E7DD1">
        <w:rPr>
          <w:rFonts w:asciiTheme="minorHAnsi" w:hAnsiTheme="minorHAnsi" w:cstheme="minorHAnsi"/>
          <w:color w:val="000000" w:themeColor="text1"/>
        </w:rPr>
        <w:t>The existing medical cannabis market has adopted this key strategy of the tobacco industry to attract youth. While flavored flower is not widely present, a wide range of other flavored products including flavored pre-rolls</w:t>
      </w:r>
      <w:r w:rsidR="00397A28">
        <w:rPr>
          <w:rFonts w:asciiTheme="minorHAnsi" w:hAnsiTheme="minorHAnsi" w:cstheme="minorHAnsi"/>
          <w:color w:val="000000" w:themeColor="text1"/>
        </w:rPr>
        <w:t>, flavored beverages such as cannabis-infused orange soda,</w:t>
      </w:r>
      <w:r w:rsidR="003B6C8F">
        <w:rPr>
          <w:rFonts w:asciiTheme="minorHAnsi" w:hAnsiTheme="minorHAnsi" w:cstheme="minorHAnsi"/>
          <w:color w:val="000000" w:themeColor="text1"/>
        </w:rPr>
        <w:t xml:space="preserve"> </w:t>
      </w:r>
      <w:r w:rsidR="00397A28">
        <w:rPr>
          <w:rFonts w:asciiTheme="minorHAnsi" w:hAnsiTheme="minorHAnsi" w:cstheme="minorHAnsi"/>
          <w:color w:val="000000" w:themeColor="text1"/>
        </w:rPr>
        <w:t xml:space="preserve">and vaping products are </w:t>
      </w:r>
      <w:proofErr w:type="gramStart"/>
      <w:r w:rsidR="00397A28">
        <w:rPr>
          <w:rFonts w:asciiTheme="minorHAnsi" w:hAnsiTheme="minorHAnsi" w:cstheme="minorHAnsi"/>
          <w:color w:val="000000" w:themeColor="text1"/>
        </w:rPr>
        <w:t>sold.</w:t>
      </w:r>
      <w:r w:rsidR="00644BC2" w:rsidRPr="00181DD4">
        <w:rPr>
          <w:rFonts w:asciiTheme="minorHAnsi" w:hAnsiTheme="minorHAnsi" w:cstheme="minorHAnsi"/>
          <w:color w:val="000000" w:themeColor="text1"/>
        </w:rPr>
        <w:t>.</w:t>
      </w:r>
      <w:proofErr w:type="gramEnd"/>
      <w:r w:rsidR="00644BC2" w:rsidRPr="00181DD4">
        <w:rPr>
          <w:rFonts w:asciiTheme="minorHAnsi" w:hAnsiTheme="minorHAnsi" w:cstheme="minorHAnsi"/>
          <w:color w:val="000000" w:themeColor="text1"/>
        </w:rPr>
        <w:t xml:space="preserve"> </w:t>
      </w:r>
      <w:r w:rsidR="00F26CEC" w:rsidRPr="00181DD4">
        <w:rPr>
          <w:rFonts w:asciiTheme="minorHAnsi" w:hAnsiTheme="minorHAnsi" w:cstheme="minorHAnsi"/>
          <w:color w:val="000000" w:themeColor="text1"/>
        </w:rPr>
        <w:t>A separate problem, not addressed here,</w:t>
      </w:r>
      <w:r w:rsidR="00F94D7B">
        <w:rPr>
          <w:rFonts w:asciiTheme="minorHAnsi" w:hAnsiTheme="minorHAnsi" w:cstheme="minorHAnsi"/>
          <w:color w:val="000000" w:themeColor="text1"/>
        </w:rPr>
        <w:t xml:space="preserve"> </w:t>
      </w:r>
      <w:r w:rsidR="00F26CEC" w:rsidRPr="00181DD4">
        <w:rPr>
          <w:rFonts w:asciiTheme="minorHAnsi" w:hAnsiTheme="minorHAnsi" w:cstheme="minorHAnsi"/>
          <w:color w:val="000000" w:themeColor="text1"/>
        </w:rPr>
        <w:t xml:space="preserve">is the widespread use of strain or product names that mislead the consumer into thinking the product is flavored (e.g. </w:t>
      </w:r>
      <w:r w:rsidR="00397A28">
        <w:rPr>
          <w:rFonts w:asciiTheme="minorHAnsi" w:hAnsiTheme="minorHAnsi" w:cstheme="minorHAnsi"/>
          <w:color w:val="000000" w:themeColor="text1"/>
        </w:rPr>
        <w:t xml:space="preserve">Girl Scout Cookie, </w:t>
      </w:r>
      <w:r w:rsidR="00F26CEC" w:rsidRPr="00181DD4">
        <w:rPr>
          <w:rFonts w:asciiTheme="minorHAnsi" w:hAnsiTheme="minorHAnsi" w:cstheme="minorHAnsi"/>
          <w:color w:val="000000" w:themeColor="text1"/>
        </w:rPr>
        <w:t>Grape Ape, Pax Mango), when it is not</w:t>
      </w:r>
      <w:r w:rsidR="00F26CEC">
        <w:rPr>
          <w:rFonts w:asciiTheme="minorHAnsi" w:hAnsiTheme="minorHAnsi" w:cstheme="minorHAnsi"/>
          <w:b/>
          <w:color w:val="000000" w:themeColor="text1"/>
        </w:rPr>
        <w:t xml:space="preserve">. </w:t>
      </w:r>
      <w:r w:rsidR="00644BC2" w:rsidRPr="005E7DD1">
        <w:rPr>
          <w:rFonts w:asciiTheme="minorHAnsi" w:hAnsiTheme="minorHAnsi" w:cstheme="minorHAnsi"/>
          <w:color w:val="000000" w:themeColor="text1"/>
        </w:rPr>
        <w:t>Local jurisdictions that prohibit the retail sale of flavore</w:t>
      </w:r>
      <w:r w:rsidRPr="005E7DD1">
        <w:rPr>
          <w:rFonts w:asciiTheme="minorHAnsi" w:hAnsiTheme="minorHAnsi" w:cstheme="minorHAnsi"/>
          <w:color w:val="000000" w:themeColor="text1"/>
        </w:rPr>
        <w:t>d</w:t>
      </w:r>
      <w:r w:rsidR="00644BC2" w:rsidRPr="005E7DD1">
        <w:rPr>
          <w:rFonts w:asciiTheme="minorHAnsi" w:hAnsiTheme="minorHAnsi" w:cstheme="minorHAnsi"/>
          <w:color w:val="000000" w:themeColor="text1"/>
        </w:rPr>
        <w:t xml:space="preserve"> non-edible products are awarded six points. </w:t>
      </w:r>
    </w:p>
    <w:p w14:paraId="59A422C9" w14:textId="77777777" w:rsidR="00644BC2" w:rsidRPr="005E7DD1" w:rsidRDefault="00644BC2" w:rsidP="00644BC2">
      <w:pPr>
        <w:jc w:val="both"/>
        <w:rPr>
          <w:rFonts w:asciiTheme="minorHAnsi" w:hAnsiTheme="minorHAnsi" w:cstheme="minorHAnsi"/>
          <w:b/>
          <w:color w:val="4472C4" w:themeColor="accent1"/>
        </w:rPr>
      </w:pPr>
    </w:p>
    <w:p w14:paraId="08D76239" w14:textId="60F3C633" w:rsidR="00644BC2" w:rsidRPr="005E7DD1" w:rsidRDefault="00644BC2" w:rsidP="00644BC2">
      <w:pPr>
        <w:rPr>
          <w:rFonts w:asciiTheme="minorHAnsi" w:hAnsiTheme="minorHAnsi" w:cstheme="minorHAnsi"/>
          <w:b/>
          <w:color w:val="4472C4" w:themeColor="accent1"/>
        </w:rPr>
      </w:pPr>
      <w:r w:rsidRPr="005E7DD1">
        <w:rPr>
          <w:rFonts w:asciiTheme="minorHAnsi" w:hAnsiTheme="minorHAnsi" w:cstheme="minorHAnsi"/>
          <w:b/>
          <w:color w:val="4472C4" w:themeColor="accent1"/>
        </w:rPr>
        <w:t>Ban on cannabis-infused beverages (4pts)</w:t>
      </w:r>
    </w:p>
    <w:p w14:paraId="0307870B" w14:textId="079676A7" w:rsidR="009429F1" w:rsidRPr="005E7DD1" w:rsidRDefault="009429F1" w:rsidP="00644BC2">
      <w:pPr>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Description: </w:t>
      </w:r>
      <w:r w:rsidRPr="005E7DD1">
        <w:rPr>
          <w:rFonts w:asciiTheme="minorHAnsi" w:hAnsiTheme="minorHAnsi" w:cstheme="minorHAnsi"/>
          <w:color w:val="000000" w:themeColor="text1"/>
        </w:rPr>
        <w:t>Prohibition on the retail sale of cannabis-infused beverages, whether pre-made or available to mix.</w:t>
      </w:r>
    </w:p>
    <w:p w14:paraId="3252A8DB" w14:textId="28249846" w:rsidR="009429F1" w:rsidRPr="005E7DD1" w:rsidRDefault="009429F1" w:rsidP="00644BC2">
      <w:pPr>
        <w:rPr>
          <w:rFonts w:asciiTheme="minorHAnsi" w:hAnsiTheme="minorHAnsi" w:cstheme="minorHAnsi"/>
          <w:b/>
          <w:color w:val="000000" w:themeColor="text1"/>
        </w:rPr>
      </w:pPr>
    </w:p>
    <w:p w14:paraId="1EF2908B" w14:textId="5010C5D9" w:rsidR="009429F1" w:rsidRPr="005E7DD1" w:rsidRDefault="009429F1" w:rsidP="00644BC2">
      <w:pPr>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State Law: </w:t>
      </w:r>
      <w:r w:rsidRPr="005E7DD1">
        <w:rPr>
          <w:rFonts w:asciiTheme="minorHAnsi" w:hAnsiTheme="minorHAnsi" w:cstheme="minorHAnsi"/>
          <w:color w:val="000000" w:themeColor="text1"/>
        </w:rPr>
        <w:t>None</w:t>
      </w:r>
      <w:r w:rsidR="005D30A2">
        <w:rPr>
          <w:rFonts w:asciiTheme="minorHAnsi" w:hAnsiTheme="minorHAnsi" w:cstheme="minorHAnsi"/>
          <w:color w:val="000000" w:themeColor="text1"/>
        </w:rPr>
        <w:t>. Score: 0.</w:t>
      </w:r>
    </w:p>
    <w:p w14:paraId="2A794174" w14:textId="08D0C880" w:rsidR="009429F1" w:rsidRPr="005E7DD1" w:rsidRDefault="009429F1" w:rsidP="00644BC2">
      <w:pPr>
        <w:rPr>
          <w:rFonts w:asciiTheme="minorHAnsi" w:hAnsiTheme="minorHAnsi" w:cstheme="minorHAnsi"/>
          <w:color w:val="000000" w:themeColor="text1"/>
        </w:rPr>
      </w:pPr>
    </w:p>
    <w:p w14:paraId="2B97D332" w14:textId="7DECBC18" w:rsidR="00644BC2" w:rsidRPr="005E7DD1" w:rsidRDefault="009429F1" w:rsidP="003B6C8F">
      <w:pPr>
        <w:jc w:val="both"/>
        <w:rPr>
          <w:rFonts w:asciiTheme="minorHAnsi" w:hAnsiTheme="minorHAnsi" w:cstheme="minorHAnsi"/>
          <w:b/>
          <w:color w:val="000000" w:themeColor="text1"/>
        </w:rPr>
      </w:pPr>
      <w:r w:rsidRPr="005E7DD1">
        <w:rPr>
          <w:rFonts w:asciiTheme="minorHAnsi" w:hAnsiTheme="minorHAnsi" w:cstheme="minorHAnsi"/>
          <w:b/>
          <w:color w:val="000000" w:themeColor="text1"/>
        </w:rPr>
        <w:t>Rationale</w:t>
      </w:r>
      <w:r w:rsidR="00AA18A0">
        <w:rPr>
          <w:rFonts w:asciiTheme="minorHAnsi" w:hAnsiTheme="minorHAnsi" w:cstheme="minorHAnsi"/>
          <w:b/>
          <w:color w:val="000000" w:themeColor="text1"/>
        </w:rPr>
        <w:t xml:space="preserve"> &amp; Points</w:t>
      </w:r>
      <w:r w:rsidRPr="005E7DD1">
        <w:rPr>
          <w:rFonts w:asciiTheme="minorHAnsi" w:hAnsiTheme="minorHAnsi" w:cstheme="minorHAnsi"/>
          <w:b/>
          <w:color w:val="000000" w:themeColor="text1"/>
        </w:rPr>
        <w:t xml:space="preserve">: </w:t>
      </w:r>
      <w:r w:rsidR="00644BC2" w:rsidRPr="005E7DD1">
        <w:rPr>
          <w:rFonts w:asciiTheme="minorHAnsi" w:hAnsiTheme="minorHAnsi" w:cstheme="minorHAnsi"/>
        </w:rPr>
        <w:t xml:space="preserve">By mimicking common beverages like iced tea and soda, cannabis-infused beverages </w:t>
      </w:r>
      <w:r w:rsidR="005D30A2">
        <w:rPr>
          <w:rFonts w:asciiTheme="minorHAnsi" w:hAnsiTheme="minorHAnsi" w:cstheme="minorHAnsi"/>
        </w:rPr>
        <w:t>will</w:t>
      </w:r>
      <w:r w:rsidR="00644BC2" w:rsidRPr="005E7DD1">
        <w:rPr>
          <w:rFonts w:asciiTheme="minorHAnsi" w:hAnsiTheme="minorHAnsi" w:cstheme="minorHAnsi"/>
        </w:rPr>
        <w:t xml:space="preserve"> both attract youth and normalize cannabis consumption.</w:t>
      </w:r>
      <w:r w:rsidR="00644BC2" w:rsidRPr="005E7DD1">
        <w:rPr>
          <w:rFonts w:asciiTheme="minorHAnsi" w:hAnsiTheme="minorHAnsi" w:cstheme="minorHAnsi"/>
          <w:color w:val="000000" w:themeColor="text1"/>
        </w:rPr>
        <w:t xml:space="preserve"> Sugar</w:t>
      </w:r>
      <w:r w:rsidR="005D30A2">
        <w:rPr>
          <w:rFonts w:asciiTheme="minorHAnsi" w:hAnsiTheme="minorHAnsi" w:cstheme="minorHAnsi"/>
          <w:color w:val="000000" w:themeColor="text1"/>
        </w:rPr>
        <w:t>-</w:t>
      </w:r>
      <w:r w:rsidR="00644BC2" w:rsidRPr="005E7DD1">
        <w:rPr>
          <w:rFonts w:asciiTheme="minorHAnsi" w:hAnsiTheme="minorHAnsi" w:cstheme="minorHAnsi"/>
          <w:color w:val="000000" w:themeColor="text1"/>
        </w:rPr>
        <w:t>sweetened beverage consumption has been clearly linked in a massive body of research to obesity, diabetes, heart disease and other health problems, and even artificially sweetened beverage consumption has growing evidence of associated harm.</w:t>
      </w:r>
      <w:r w:rsidR="00644BC2" w:rsidRPr="005E7DD1">
        <w:rPr>
          <w:rStyle w:val="FootnoteReference"/>
          <w:rFonts w:asciiTheme="minorHAnsi" w:hAnsiTheme="minorHAnsi" w:cstheme="minorHAnsi"/>
          <w:color w:val="000000" w:themeColor="text1"/>
        </w:rPr>
        <w:footnoteReference w:id="55"/>
      </w:r>
      <w:r w:rsidR="00644BC2" w:rsidRPr="005E7DD1">
        <w:rPr>
          <w:rFonts w:asciiTheme="minorHAnsi" w:hAnsiTheme="minorHAnsi" w:cstheme="minorHAnsi"/>
          <w:color w:val="000000" w:themeColor="text1"/>
        </w:rPr>
        <w:t xml:space="preserve"> </w:t>
      </w:r>
      <w:r w:rsidR="00F26CEC">
        <w:rPr>
          <w:rFonts w:asciiTheme="minorHAnsi" w:hAnsiTheme="minorHAnsi" w:cstheme="minorHAnsi"/>
          <w:color w:val="000000" w:themeColor="text1"/>
        </w:rPr>
        <w:t>“</w:t>
      </w:r>
      <w:r w:rsidR="00644BC2" w:rsidRPr="005E7DD1">
        <w:rPr>
          <w:rFonts w:asciiTheme="minorHAnsi" w:hAnsiTheme="minorHAnsi" w:cstheme="minorHAnsi"/>
          <w:color w:val="000000" w:themeColor="text1"/>
        </w:rPr>
        <w:t>Alcopops,</w:t>
      </w:r>
      <w:r w:rsidR="00F26CEC">
        <w:rPr>
          <w:rFonts w:asciiTheme="minorHAnsi" w:hAnsiTheme="minorHAnsi" w:cstheme="minorHAnsi"/>
          <w:color w:val="000000" w:themeColor="text1"/>
        </w:rPr>
        <w:t>”</w:t>
      </w:r>
      <w:r w:rsidR="00644BC2" w:rsidRPr="005E7DD1">
        <w:rPr>
          <w:rFonts w:asciiTheme="minorHAnsi" w:hAnsiTheme="minorHAnsi" w:cstheme="minorHAnsi"/>
          <w:color w:val="000000" w:themeColor="text1"/>
        </w:rPr>
        <w:t xml:space="preserve"> the model for many of these infused beverages, </w:t>
      </w:r>
      <w:r w:rsidR="00F26CEC">
        <w:rPr>
          <w:rFonts w:asciiTheme="minorHAnsi" w:hAnsiTheme="minorHAnsi" w:cstheme="minorHAnsi"/>
          <w:color w:val="000000" w:themeColor="text1"/>
        </w:rPr>
        <w:t xml:space="preserve">are mostly heavily used by adolescents, </w:t>
      </w:r>
      <w:r w:rsidR="00644BC2" w:rsidRPr="005E7DD1">
        <w:rPr>
          <w:rFonts w:asciiTheme="minorHAnsi" w:hAnsiTheme="minorHAnsi" w:cstheme="minorHAnsi"/>
          <w:color w:val="000000" w:themeColor="text1"/>
        </w:rPr>
        <w:t xml:space="preserve">have been </w:t>
      </w:r>
      <w:r w:rsidR="00F26CEC">
        <w:rPr>
          <w:rFonts w:asciiTheme="minorHAnsi" w:hAnsiTheme="minorHAnsi" w:cstheme="minorHAnsi"/>
          <w:color w:val="000000" w:themeColor="text1"/>
        </w:rPr>
        <w:t xml:space="preserve">marketed </w:t>
      </w:r>
      <w:r w:rsidR="009278D1">
        <w:rPr>
          <w:rFonts w:asciiTheme="minorHAnsi" w:hAnsiTheme="minorHAnsi" w:cstheme="minorHAnsi"/>
          <w:color w:val="000000" w:themeColor="text1"/>
        </w:rPr>
        <w:t xml:space="preserve">in a way </w:t>
      </w:r>
      <w:r w:rsidR="00397A28">
        <w:rPr>
          <w:rFonts w:asciiTheme="minorHAnsi" w:hAnsiTheme="minorHAnsi" w:cstheme="minorHAnsi"/>
          <w:color w:val="000000" w:themeColor="text1"/>
        </w:rPr>
        <w:t>known</w:t>
      </w:r>
      <w:r w:rsidR="003B6C8F">
        <w:rPr>
          <w:rFonts w:asciiTheme="minorHAnsi" w:hAnsiTheme="minorHAnsi" w:cstheme="minorHAnsi"/>
          <w:color w:val="000000" w:themeColor="text1"/>
        </w:rPr>
        <w:t xml:space="preserve"> </w:t>
      </w:r>
      <w:r w:rsidR="00F26CEC">
        <w:rPr>
          <w:rFonts w:asciiTheme="minorHAnsi" w:hAnsiTheme="minorHAnsi" w:cstheme="minorHAnsi"/>
          <w:color w:val="000000" w:themeColor="text1"/>
        </w:rPr>
        <w:t xml:space="preserve">to initiate youth drinking, and are </w:t>
      </w:r>
      <w:r w:rsidR="00644BC2" w:rsidRPr="005E7DD1">
        <w:rPr>
          <w:rFonts w:asciiTheme="minorHAnsi" w:hAnsiTheme="minorHAnsi" w:cstheme="minorHAnsi"/>
          <w:color w:val="000000" w:themeColor="text1"/>
        </w:rPr>
        <w:t xml:space="preserve">associated with adolescent </w:t>
      </w:r>
      <w:r w:rsidR="009278D1">
        <w:rPr>
          <w:rFonts w:asciiTheme="minorHAnsi" w:hAnsiTheme="minorHAnsi" w:cstheme="minorHAnsi"/>
          <w:color w:val="000000" w:themeColor="text1"/>
        </w:rPr>
        <w:t xml:space="preserve">binge </w:t>
      </w:r>
      <w:r w:rsidR="00644BC2" w:rsidRPr="005E7DD1">
        <w:rPr>
          <w:rFonts w:asciiTheme="minorHAnsi" w:hAnsiTheme="minorHAnsi" w:cstheme="minorHAnsi"/>
          <w:color w:val="000000" w:themeColor="text1"/>
        </w:rPr>
        <w:t>drinking.</w:t>
      </w:r>
      <w:r w:rsidR="00766638">
        <w:rPr>
          <w:rStyle w:val="FootnoteReference"/>
          <w:rFonts w:asciiTheme="minorHAnsi" w:hAnsiTheme="minorHAnsi" w:cstheme="minorHAnsi"/>
          <w:color w:val="000000" w:themeColor="text1"/>
        </w:rPr>
        <w:footnoteReference w:id="56"/>
      </w:r>
      <w:r w:rsidR="00766638" w:rsidRPr="005E7DD1" w:rsidDel="00BC1F44">
        <w:rPr>
          <w:rStyle w:val="FootnoteReference"/>
          <w:rFonts w:asciiTheme="minorHAnsi" w:hAnsiTheme="minorHAnsi" w:cstheme="minorHAnsi"/>
          <w:color w:val="000000" w:themeColor="text1"/>
        </w:rPr>
        <w:t xml:space="preserve"> </w:t>
      </w:r>
      <w:r w:rsidR="00766638">
        <w:rPr>
          <w:rStyle w:val="FootnoteReference"/>
          <w:rFonts w:asciiTheme="minorHAnsi" w:hAnsiTheme="minorHAnsi" w:cstheme="minorHAnsi"/>
          <w:color w:val="000000" w:themeColor="text1"/>
        </w:rPr>
        <w:footnoteReference w:id="57"/>
      </w:r>
      <w:r w:rsidR="00766638">
        <w:rPr>
          <w:rFonts w:asciiTheme="minorHAnsi" w:hAnsiTheme="minorHAnsi" w:cstheme="minorHAnsi"/>
          <w:color w:val="000000" w:themeColor="text1"/>
        </w:rPr>
        <w:t xml:space="preserve"> </w:t>
      </w:r>
      <w:r w:rsidR="00766638">
        <w:rPr>
          <w:rStyle w:val="FootnoteReference"/>
          <w:rFonts w:asciiTheme="minorHAnsi" w:hAnsiTheme="minorHAnsi" w:cstheme="minorHAnsi"/>
          <w:color w:val="000000" w:themeColor="text1"/>
        </w:rPr>
        <w:footnoteReference w:id="58"/>
      </w:r>
      <w:r w:rsidRPr="005E7DD1">
        <w:rPr>
          <w:rFonts w:asciiTheme="minorHAnsi" w:hAnsiTheme="minorHAnsi" w:cstheme="minorHAnsi"/>
          <w:color w:val="000000" w:themeColor="text1"/>
        </w:rPr>
        <w:t xml:space="preserve">Cannabis-infused beverages are an example of unfettered product expansion that is unnecessary and likely to </w:t>
      </w:r>
      <w:r w:rsidRPr="005E7DD1">
        <w:rPr>
          <w:rFonts w:asciiTheme="minorHAnsi" w:hAnsiTheme="minorHAnsi" w:cstheme="minorHAnsi"/>
          <w:color w:val="000000" w:themeColor="text1"/>
        </w:rPr>
        <w:lastRenderedPageBreak/>
        <w:t xml:space="preserve">attract youth. </w:t>
      </w:r>
      <w:r w:rsidR="00644BC2" w:rsidRPr="005E7DD1">
        <w:rPr>
          <w:rFonts w:asciiTheme="minorHAnsi" w:hAnsiTheme="minorHAnsi" w:cstheme="minorHAnsi"/>
        </w:rPr>
        <w:t xml:space="preserve">Jurisdictions that prohibit cannabis-infused beverages (either pre-made or available for mixing in a liquid) are awarded four points. </w:t>
      </w:r>
    </w:p>
    <w:p w14:paraId="7A8DF376" w14:textId="77777777" w:rsidR="00644BC2" w:rsidRPr="005E7DD1" w:rsidRDefault="00644BC2" w:rsidP="00644BC2">
      <w:pPr>
        <w:rPr>
          <w:rFonts w:asciiTheme="minorHAnsi" w:hAnsiTheme="minorHAnsi" w:cstheme="minorHAnsi"/>
        </w:rPr>
      </w:pPr>
    </w:p>
    <w:p w14:paraId="32C1EEF4" w14:textId="37A451FA" w:rsidR="00644BC2" w:rsidRPr="005E7DD1" w:rsidRDefault="00644BC2" w:rsidP="00644BC2">
      <w:pPr>
        <w:rPr>
          <w:rFonts w:asciiTheme="minorHAnsi" w:hAnsiTheme="minorHAnsi" w:cstheme="minorHAnsi"/>
          <w:b/>
          <w:color w:val="4472C4" w:themeColor="accent1"/>
        </w:rPr>
      </w:pPr>
      <w:r w:rsidRPr="005E7DD1">
        <w:rPr>
          <w:rFonts w:asciiTheme="minorHAnsi" w:hAnsiTheme="minorHAnsi" w:cstheme="minorHAnsi"/>
          <w:b/>
          <w:color w:val="4472C4" w:themeColor="accent1"/>
        </w:rPr>
        <w:t>Ban on</w:t>
      </w:r>
      <w:r w:rsidR="007A6306">
        <w:rPr>
          <w:rFonts w:asciiTheme="minorHAnsi" w:hAnsiTheme="minorHAnsi" w:cstheme="minorHAnsi"/>
          <w:b/>
          <w:color w:val="4472C4" w:themeColor="accent1"/>
        </w:rPr>
        <w:t xml:space="preserve"> </w:t>
      </w:r>
      <w:r w:rsidR="00F26CEC">
        <w:rPr>
          <w:rFonts w:asciiTheme="minorHAnsi" w:hAnsiTheme="minorHAnsi" w:cstheme="minorHAnsi"/>
          <w:b/>
          <w:color w:val="4472C4" w:themeColor="accent1"/>
        </w:rPr>
        <w:t xml:space="preserve">other </w:t>
      </w:r>
      <w:r w:rsidRPr="005E7DD1">
        <w:rPr>
          <w:rFonts w:asciiTheme="minorHAnsi" w:hAnsiTheme="minorHAnsi" w:cstheme="minorHAnsi"/>
          <w:b/>
          <w:color w:val="4472C4" w:themeColor="accent1"/>
        </w:rPr>
        <w:t>products attractive to youth (2pts)</w:t>
      </w:r>
    </w:p>
    <w:p w14:paraId="7EEC1E1D" w14:textId="60241056" w:rsidR="009429F1" w:rsidRPr="00B65B94" w:rsidRDefault="009429F1" w:rsidP="00EA7BF8">
      <w:pPr>
        <w:jc w:val="both"/>
      </w:pPr>
      <w:r w:rsidRPr="005E7DD1">
        <w:rPr>
          <w:rFonts w:asciiTheme="minorHAnsi" w:hAnsiTheme="minorHAnsi" w:cstheme="minorHAnsi"/>
          <w:b/>
          <w:color w:val="000000" w:themeColor="text1"/>
        </w:rPr>
        <w:t xml:space="preserve">Description: </w:t>
      </w:r>
      <w:r w:rsidRPr="005E7DD1">
        <w:rPr>
          <w:rFonts w:asciiTheme="minorHAnsi" w:hAnsiTheme="minorHAnsi" w:cstheme="minorHAnsi"/>
          <w:color w:val="000000" w:themeColor="text1"/>
        </w:rPr>
        <w:t>Prohibiting any products</w:t>
      </w:r>
      <w:r w:rsidR="009278D1">
        <w:rPr>
          <w:rFonts w:asciiTheme="minorHAnsi" w:hAnsiTheme="minorHAnsi" w:cstheme="minorHAnsi"/>
          <w:color w:val="000000" w:themeColor="text1"/>
        </w:rPr>
        <w:t xml:space="preserve"> </w:t>
      </w:r>
      <w:r w:rsidRPr="005E7DD1">
        <w:rPr>
          <w:rFonts w:asciiTheme="minorHAnsi" w:hAnsiTheme="minorHAnsi" w:cstheme="minorHAnsi"/>
          <w:color w:val="000000" w:themeColor="text1"/>
        </w:rPr>
        <w:t xml:space="preserve">that are considered attractive to youth, such as products that resemble common foods, or bear images of toys or candy. </w:t>
      </w:r>
    </w:p>
    <w:p w14:paraId="54097AA4" w14:textId="0AB2BA67" w:rsidR="009429F1" w:rsidRPr="00CF406B" w:rsidRDefault="009429F1" w:rsidP="00EA7BF8">
      <w:pPr>
        <w:jc w:val="both"/>
        <w:rPr>
          <w:rFonts w:asciiTheme="minorHAnsi" w:hAnsiTheme="minorHAnsi" w:cstheme="minorHAnsi"/>
          <w:color w:val="000000" w:themeColor="text1"/>
        </w:rPr>
      </w:pPr>
    </w:p>
    <w:p w14:paraId="6A811527" w14:textId="452EE427" w:rsidR="009429F1" w:rsidRPr="00CF406B" w:rsidRDefault="009429F1" w:rsidP="00EA7BF8">
      <w:pPr>
        <w:jc w:val="both"/>
        <w:rPr>
          <w:rFonts w:asciiTheme="minorHAnsi" w:hAnsiTheme="minorHAnsi" w:cstheme="minorHAnsi"/>
        </w:rPr>
      </w:pPr>
      <w:r w:rsidRPr="00CF406B">
        <w:rPr>
          <w:rFonts w:asciiTheme="minorHAnsi" w:hAnsiTheme="minorHAnsi" w:cstheme="minorHAnsi"/>
          <w:b/>
          <w:color w:val="000000" w:themeColor="text1"/>
        </w:rPr>
        <w:t>State Law:</w:t>
      </w:r>
      <w:r w:rsidRPr="00CF406B">
        <w:rPr>
          <w:rFonts w:asciiTheme="minorHAnsi" w:hAnsiTheme="minorHAnsi" w:cstheme="minorHAnsi"/>
        </w:rPr>
        <w:t xml:space="preserve"> P</w:t>
      </w:r>
      <w:r w:rsidR="00644BC2" w:rsidRPr="00CF406B">
        <w:rPr>
          <w:rFonts w:asciiTheme="minorHAnsi" w:hAnsiTheme="minorHAnsi" w:cstheme="minorHAnsi"/>
        </w:rPr>
        <w:t>rohibits</w:t>
      </w:r>
      <w:r w:rsidR="00B65B94" w:rsidRPr="00CF406B">
        <w:rPr>
          <w:rFonts w:asciiTheme="minorHAnsi" w:hAnsiTheme="minorHAnsi" w:cstheme="minorHAnsi"/>
        </w:rPr>
        <w:t xml:space="preserve"> cannabis products </w:t>
      </w:r>
      <w:r w:rsidR="00B65B94" w:rsidRPr="00CF406B">
        <w:rPr>
          <w:rFonts w:asciiTheme="minorHAnsi" w:hAnsiTheme="minorHAnsi" w:cstheme="minorHAnsi"/>
          <w:color w:val="000000" w:themeColor="text1"/>
        </w:rPr>
        <w:t xml:space="preserve">that the </w:t>
      </w:r>
      <w:r w:rsidR="009278D1">
        <w:rPr>
          <w:rFonts w:asciiTheme="minorHAnsi" w:hAnsiTheme="minorHAnsi" w:cstheme="minorHAnsi"/>
          <w:color w:val="000000" w:themeColor="text1"/>
        </w:rPr>
        <w:t xml:space="preserve">California </w:t>
      </w:r>
      <w:r w:rsidR="00B65B94" w:rsidRPr="00CF406B">
        <w:rPr>
          <w:rFonts w:asciiTheme="minorHAnsi" w:hAnsiTheme="minorHAnsi" w:cstheme="minorHAnsi"/>
          <w:color w:val="000000" w:themeColor="text1"/>
        </w:rPr>
        <w:t xml:space="preserve">Department of Public Health </w:t>
      </w:r>
      <w:r w:rsidR="00B65B94" w:rsidRPr="00CF406B">
        <w:rPr>
          <w:rFonts w:asciiTheme="minorHAnsi" w:hAnsiTheme="minorHAnsi" w:cstheme="minorHAnsi"/>
        </w:rPr>
        <w:t xml:space="preserve">“determines, on a case-by-case basis, is easily confused with commercially available foods that do not contain cannabis” (§40300(l)); and prohibits </w:t>
      </w:r>
      <w:r w:rsidR="008C70EE">
        <w:rPr>
          <w:rFonts w:asciiTheme="minorHAnsi" w:hAnsiTheme="minorHAnsi" w:cstheme="minorHAnsi"/>
        </w:rPr>
        <w:t xml:space="preserve">“any </w:t>
      </w:r>
      <w:r w:rsidR="00644BC2" w:rsidRPr="00CF406B">
        <w:rPr>
          <w:rFonts w:asciiTheme="minorHAnsi" w:hAnsiTheme="minorHAnsi" w:cstheme="minorHAnsi"/>
        </w:rPr>
        <w:t>cannabis product</w:t>
      </w:r>
      <w:r w:rsidR="008C70EE">
        <w:rPr>
          <w:rFonts w:asciiTheme="minorHAnsi" w:hAnsiTheme="minorHAnsi" w:cstheme="minorHAnsi"/>
        </w:rPr>
        <w:t xml:space="preserve"> </w:t>
      </w:r>
      <w:r w:rsidR="00644BC2" w:rsidRPr="00CF406B">
        <w:rPr>
          <w:rFonts w:asciiTheme="minorHAnsi" w:hAnsiTheme="minorHAnsi" w:cstheme="minorHAnsi"/>
        </w:rPr>
        <w:t xml:space="preserve">in the shape of, or imprinted with the shape of a human being, either realistic or caricature, animal, insect, or fruit.” (§ 40300(m)). </w:t>
      </w:r>
      <w:r w:rsidR="005D30A2">
        <w:rPr>
          <w:rFonts w:asciiTheme="minorHAnsi" w:hAnsiTheme="minorHAnsi" w:cstheme="minorHAnsi"/>
        </w:rPr>
        <w:t>Score: 2.</w:t>
      </w:r>
    </w:p>
    <w:p w14:paraId="2FEC5851" w14:textId="77777777" w:rsidR="009429F1" w:rsidRPr="005E7DD1" w:rsidRDefault="009429F1" w:rsidP="00EA7BF8">
      <w:pPr>
        <w:jc w:val="both"/>
        <w:rPr>
          <w:rFonts w:asciiTheme="minorHAnsi" w:hAnsiTheme="minorHAnsi" w:cstheme="minorHAnsi"/>
        </w:rPr>
      </w:pPr>
    </w:p>
    <w:p w14:paraId="54F8CE7F" w14:textId="40337E26" w:rsidR="00644BC2" w:rsidRDefault="009429F1" w:rsidP="00EA7BF8">
      <w:pPr>
        <w:jc w:val="both"/>
        <w:rPr>
          <w:rFonts w:asciiTheme="minorHAnsi" w:hAnsiTheme="minorHAnsi" w:cstheme="minorHAnsi"/>
        </w:rPr>
      </w:pPr>
      <w:r w:rsidRPr="005E7DD1">
        <w:rPr>
          <w:rFonts w:asciiTheme="minorHAnsi" w:hAnsiTheme="minorHAnsi" w:cstheme="minorHAnsi"/>
          <w:b/>
        </w:rPr>
        <w:t>Rationale</w:t>
      </w:r>
      <w:r w:rsidR="00AA18A0">
        <w:rPr>
          <w:rFonts w:asciiTheme="minorHAnsi" w:hAnsiTheme="minorHAnsi" w:cstheme="minorHAnsi"/>
          <w:b/>
        </w:rPr>
        <w:t xml:space="preserve"> &amp; Points</w:t>
      </w:r>
      <w:r w:rsidRPr="005E7DD1">
        <w:rPr>
          <w:rFonts w:asciiTheme="minorHAnsi" w:hAnsiTheme="minorHAnsi" w:cstheme="minorHAnsi"/>
          <w:b/>
        </w:rPr>
        <w:t>:</w:t>
      </w:r>
      <w:r w:rsidR="007A6306">
        <w:rPr>
          <w:rFonts w:asciiTheme="minorHAnsi" w:hAnsiTheme="minorHAnsi" w:cstheme="minorHAnsi"/>
          <w:b/>
        </w:rPr>
        <w:t xml:space="preserve"> </w:t>
      </w:r>
      <w:r w:rsidRPr="00766638">
        <w:rPr>
          <w:rFonts w:asciiTheme="minorHAnsi" w:hAnsiTheme="minorHAnsi" w:cstheme="minorHAnsi"/>
        </w:rPr>
        <w:t>State</w:t>
      </w:r>
      <w:r w:rsidR="00766638" w:rsidRPr="00766638">
        <w:rPr>
          <w:rFonts w:asciiTheme="minorHAnsi" w:hAnsiTheme="minorHAnsi" w:cstheme="minorHAnsi"/>
        </w:rPr>
        <w:t xml:space="preserve"> regulations prohibit cannabis products that are determined, on a case-by-case basis, to</w:t>
      </w:r>
      <w:r w:rsidR="003B6C8F">
        <w:rPr>
          <w:rFonts w:asciiTheme="minorHAnsi" w:hAnsiTheme="minorHAnsi" w:cstheme="minorHAnsi"/>
        </w:rPr>
        <w:t xml:space="preserve"> </w:t>
      </w:r>
      <w:r w:rsidR="00766638" w:rsidRPr="00766638">
        <w:rPr>
          <w:rFonts w:asciiTheme="minorHAnsi" w:hAnsiTheme="minorHAnsi" w:cstheme="minorHAnsi"/>
        </w:rPr>
        <w:t>be “easily confused” with commercially available foods that do not contain cannabis.</w:t>
      </w:r>
      <w:r w:rsidR="00766638">
        <w:rPr>
          <w:rFonts w:asciiTheme="minorHAnsi" w:hAnsiTheme="minorHAnsi" w:cstheme="minorHAnsi"/>
        </w:rPr>
        <w:t xml:space="preserve"> The terms “easily confused” and</w:t>
      </w:r>
      <w:r w:rsidR="003B6C8F">
        <w:rPr>
          <w:rFonts w:asciiTheme="minorHAnsi" w:hAnsiTheme="minorHAnsi" w:cstheme="minorHAnsi"/>
        </w:rPr>
        <w:t xml:space="preserve"> </w:t>
      </w:r>
      <w:r w:rsidR="00766638">
        <w:rPr>
          <w:rFonts w:asciiTheme="minorHAnsi" w:hAnsiTheme="minorHAnsi" w:cstheme="minorHAnsi"/>
        </w:rPr>
        <w:t xml:space="preserve">“commercially available” are not </w:t>
      </w:r>
      <w:proofErr w:type="spellStart"/>
      <w:r w:rsidR="00766638">
        <w:rPr>
          <w:rFonts w:asciiTheme="minorHAnsi" w:hAnsiTheme="minorHAnsi" w:cstheme="minorHAnsi"/>
        </w:rPr>
        <w:t>specificied</w:t>
      </w:r>
      <w:proofErr w:type="spellEnd"/>
      <w:r w:rsidR="00766638">
        <w:rPr>
          <w:rFonts w:asciiTheme="minorHAnsi" w:hAnsiTheme="minorHAnsi" w:cstheme="minorHAnsi"/>
        </w:rPr>
        <w:t xml:space="preserve"> and as a result the vague wording is open to wide interpretation.</w:t>
      </w:r>
      <w:r w:rsidR="00766638" w:rsidRPr="00766638">
        <w:rPr>
          <w:rFonts w:asciiTheme="minorHAnsi" w:hAnsiTheme="minorHAnsi" w:cstheme="minorHAnsi"/>
        </w:rPr>
        <w:t xml:space="preserve"> </w:t>
      </w:r>
      <w:r w:rsidR="00766638">
        <w:rPr>
          <w:rFonts w:asciiTheme="minorHAnsi" w:hAnsiTheme="minorHAnsi" w:cstheme="minorHAnsi"/>
        </w:rPr>
        <w:t xml:space="preserve">While it is likely that something like a cannabis-infused Oreo cookie would be prohibited, it is less clear whether the state meant to prohibit </w:t>
      </w:r>
      <w:r w:rsidR="00682CC7">
        <w:rPr>
          <w:rFonts w:asciiTheme="minorHAnsi" w:hAnsiTheme="minorHAnsi" w:cstheme="minorHAnsi"/>
        </w:rPr>
        <w:t xml:space="preserve">other commercially available </w:t>
      </w:r>
      <w:r w:rsidR="00766638">
        <w:rPr>
          <w:rFonts w:asciiTheme="minorHAnsi" w:hAnsiTheme="minorHAnsi" w:cstheme="minorHAnsi"/>
        </w:rPr>
        <w:t xml:space="preserve">items like granola bars, cookies, chocolate candies or brownies. </w:t>
      </w:r>
      <w:r w:rsidR="00644BC2" w:rsidRPr="005E7DD1">
        <w:rPr>
          <w:rFonts w:asciiTheme="minorHAnsi" w:hAnsiTheme="minorHAnsi" w:cstheme="minorHAnsi"/>
        </w:rPr>
        <w:t xml:space="preserve">Local jurisdictions have the authority to place greater restrictions and even prohibit products that are attractive to youth. For instance, an ordinance could prohibit </w:t>
      </w:r>
      <w:r w:rsidR="003B6FA7">
        <w:rPr>
          <w:rFonts w:asciiTheme="minorHAnsi" w:hAnsiTheme="minorHAnsi" w:cstheme="minorHAnsi"/>
        </w:rPr>
        <w:t>products</w:t>
      </w:r>
      <w:r w:rsidR="003B6FA7" w:rsidRPr="005E7DD1">
        <w:rPr>
          <w:rFonts w:asciiTheme="minorHAnsi" w:hAnsiTheme="minorHAnsi" w:cstheme="minorHAnsi"/>
        </w:rPr>
        <w:t xml:space="preserve"> </w:t>
      </w:r>
      <w:r w:rsidR="00644BC2" w:rsidRPr="005E7DD1">
        <w:rPr>
          <w:rFonts w:asciiTheme="minorHAnsi" w:hAnsiTheme="minorHAnsi" w:cstheme="minorHAnsi"/>
        </w:rPr>
        <w:t xml:space="preserve">that </w:t>
      </w:r>
      <w:r w:rsidR="003B6FA7">
        <w:rPr>
          <w:rFonts w:asciiTheme="minorHAnsi" w:hAnsiTheme="minorHAnsi" w:cstheme="minorHAnsi"/>
        </w:rPr>
        <w:t>look like or bear</w:t>
      </w:r>
      <w:r w:rsidR="003B6FA7" w:rsidRPr="005E7DD1">
        <w:rPr>
          <w:rFonts w:asciiTheme="minorHAnsi" w:hAnsiTheme="minorHAnsi" w:cstheme="minorHAnsi"/>
        </w:rPr>
        <w:t xml:space="preserve"> </w:t>
      </w:r>
      <w:r w:rsidR="00644BC2" w:rsidRPr="005E7DD1">
        <w:rPr>
          <w:rFonts w:asciiTheme="minorHAnsi" w:hAnsiTheme="minorHAnsi" w:cstheme="minorHAnsi"/>
        </w:rPr>
        <w:t xml:space="preserve">images of toys, robots, candy or </w:t>
      </w:r>
      <w:r w:rsidR="003B6FA7">
        <w:rPr>
          <w:rFonts w:asciiTheme="minorHAnsi" w:hAnsiTheme="minorHAnsi" w:cstheme="minorHAnsi"/>
        </w:rPr>
        <w:t xml:space="preserve">other </w:t>
      </w:r>
      <w:r w:rsidR="00644BC2" w:rsidRPr="005E7DD1">
        <w:rPr>
          <w:rFonts w:asciiTheme="minorHAnsi" w:hAnsiTheme="minorHAnsi" w:cstheme="minorHAnsi"/>
        </w:rPr>
        <w:t xml:space="preserve">baked goods that </w:t>
      </w:r>
      <w:r w:rsidR="003B6FA7">
        <w:rPr>
          <w:rFonts w:asciiTheme="minorHAnsi" w:hAnsiTheme="minorHAnsi" w:cstheme="minorHAnsi"/>
        </w:rPr>
        <w:t>are typically marketed to or particularly attractive to youth</w:t>
      </w:r>
      <w:r w:rsidR="00644BC2" w:rsidRPr="005E7DD1">
        <w:rPr>
          <w:rFonts w:asciiTheme="minorHAnsi" w:hAnsiTheme="minorHAnsi" w:cstheme="minorHAnsi"/>
        </w:rPr>
        <w:t>.</w:t>
      </w:r>
      <w:r w:rsidR="007A6306">
        <w:rPr>
          <w:rFonts w:asciiTheme="minorHAnsi" w:hAnsiTheme="minorHAnsi" w:cstheme="minorHAnsi"/>
        </w:rPr>
        <w:t xml:space="preserve"> </w:t>
      </w:r>
      <w:r w:rsidR="00397A28">
        <w:rPr>
          <w:rFonts w:asciiTheme="minorHAnsi" w:hAnsiTheme="minorHAnsi" w:cstheme="minorHAnsi"/>
        </w:rPr>
        <w:t xml:space="preserve">Including this provision in local law strengthens the local ability to enforce when such products are identified. </w:t>
      </w:r>
      <w:r w:rsidR="00644BC2" w:rsidRPr="005E7DD1">
        <w:rPr>
          <w:rFonts w:asciiTheme="minorHAnsi" w:hAnsiTheme="minorHAnsi" w:cstheme="minorHAnsi"/>
        </w:rPr>
        <w:t xml:space="preserve">A jurisdiction that bans products that </w:t>
      </w:r>
      <w:r w:rsidR="003B6FA7">
        <w:rPr>
          <w:rFonts w:asciiTheme="minorHAnsi" w:hAnsiTheme="minorHAnsi" w:cstheme="minorHAnsi"/>
        </w:rPr>
        <w:t>are</w:t>
      </w:r>
      <w:r w:rsidR="00644BC2" w:rsidRPr="005E7DD1">
        <w:rPr>
          <w:rFonts w:asciiTheme="minorHAnsi" w:hAnsiTheme="minorHAnsi" w:cstheme="minorHAnsi"/>
        </w:rPr>
        <w:t xml:space="preserve"> attractive to youth beyond state law requirements is awarded two points. </w:t>
      </w:r>
    </w:p>
    <w:p w14:paraId="2B382872" w14:textId="6FA18762" w:rsidR="00644BC2" w:rsidRPr="005E7DD1" w:rsidRDefault="00644BC2" w:rsidP="00DE1E77">
      <w:pPr>
        <w:rPr>
          <w:rFonts w:asciiTheme="minorHAnsi" w:hAnsiTheme="minorHAnsi" w:cstheme="minorHAnsi"/>
          <w:b/>
        </w:rPr>
      </w:pPr>
    </w:p>
    <w:p w14:paraId="3092787F" w14:textId="14570CBF" w:rsidR="009429F1" w:rsidRPr="005E7DD1" w:rsidRDefault="00753C35" w:rsidP="009429F1">
      <w:pPr>
        <w:autoSpaceDE w:val="0"/>
        <w:autoSpaceDN w:val="0"/>
        <w:adjustRightInd w:val="0"/>
        <w:rPr>
          <w:rFonts w:asciiTheme="minorHAnsi" w:hAnsiTheme="minorHAnsi" w:cstheme="minorHAnsi"/>
          <w:b/>
          <w:color w:val="4472C4" w:themeColor="accent1"/>
        </w:rPr>
      </w:pPr>
      <w:r w:rsidRPr="005E7DD1">
        <w:rPr>
          <w:rFonts w:asciiTheme="minorHAnsi" w:hAnsiTheme="minorHAnsi" w:cstheme="minorHAnsi"/>
          <w:b/>
          <w:color w:val="4472C4" w:themeColor="accent1"/>
        </w:rPr>
        <w:t xml:space="preserve">CATEGORY FOUR: </w:t>
      </w:r>
      <w:r w:rsidR="009429F1" w:rsidRPr="005E7DD1">
        <w:rPr>
          <w:rFonts w:asciiTheme="minorHAnsi" w:hAnsiTheme="minorHAnsi" w:cstheme="minorHAnsi"/>
          <w:b/>
          <w:color w:val="4472C4" w:themeColor="accent1"/>
        </w:rPr>
        <w:t xml:space="preserve">MARKETING </w:t>
      </w:r>
    </w:p>
    <w:p w14:paraId="08546B63" w14:textId="1D7C1975" w:rsidR="00753C35" w:rsidRPr="005E7DD1" w:rsidRDefault="00753C35" w:rsidP="003B6C8F">
      <w:pPr>
        <w:autoSpaceDE w:val="0"/>
        <w:autoSpaceDN w:val="0"/>
        <w:adjustRightInd w:val="0"/>
        <w:jc w:val="both"/>
        <w:rPr>
          <w:rFonts w:asciiTheme="minorHAnsi" w:hAnsiTheme="minorHAnsi" w:cstheme="minorHAnsi"/>
          <w:color w:val="000000" w:themeColor="text1"/>
        </w:rPr>
      </w:pPr>
      <w:r w:rsidRPr="005E7DD1">
        <w:rPr>
          <w:rFonts w:asciiTheme="minorHAnsi" w:hAnsiTheme="minorHAnsi" w:cstheme="minorHAnsi"/>
          <w:color w:val="000000" w:themeColor="text1"/>
        </w:rPr>
        <w:t xml:space="preserve">It is well known from the extensive literature on tobacco and alcohol that </w:t>
      </w:r>
      <w:r w:rsidR="00805210">
        <w:rPr>
          <w:rFonts w:asciiTheme="minorHAnsi" w:hAnsiTheme="minorHAnsi" w:cstheme="minorHAnsi"/>
          <w:color w:val="000000" w:themeColor="text1"/>
        </w:rPr>
        <w:t xml:space="preserve">youth exposure to </w:t>
      </w:r>
      <w:r w:rsidRPr="005E7DD1">
        <w:rPr>
          <w:rFonts w:asciiTheme="minorHAnsi" w:hAnsiTheme="minorHAnsi" w:cstheme="minorHAnsi"/>
          <w:color w:val="000000" w:themeColor="text1"/>
        </w:rPr>
        <w:t xml:space="preserve">industry marketing </w:t>
      </w:r>
      <w:r w:rsidR="00805210">
        <w:rPr>
          <w:rFonts w:asciiTheme="minorHAnsi" w:hAnsiTheme="minorHAnsi" w:cstheme="minorHAnsi"/>
          <w:color w:val="000000" w:themeColor="text1"/>
        </w:rPr>
        <w:t xml:space="preserve">is associated with substance use initiation, frequency and quantity of use, more positive attitudes and perceptions of use and the </w:t>
      </w:r>
      <w:r w:rsidRPr="005E7DD1">
        <w:rPr>
          <w:rFonts w:asciiTheme="minorHAnsi" w:hAnsiTheme="minorHAnsi" w:cstheme="minorHAnsi"/>
          <w:color w:val="000000" w:themeColor="text1"/>
        </w:rPr>
        <w:t>normaliz</w:t>
      </w:r>
      <w:r w:rsidR="00805210">
        <w:rPr>
          <w:rFonts w:asciiTheme="minorHAnsi" w:hAnsiTheme="minorHAnsi" w:cstheme="minorHAnsi"/>
          <w:color w:val="000000" w:themeColor="text1"/>
        </w:rPr>
        <w:t>ing of</w:t>
      </w:r>
      <w:r w:rsidRPr="005E7DD1">
        <w:rPr>
          <w:rFonts w:asciiTheme="minorHAnsi" w:hAnsiTheme="minorHAnsi" w:cstheme="minorHAnsi"/>
          <w:color w:val="000000" w:themeColor="text1"/>
        </w:rPr>
        <w:t xml:space="preserve"> consumption.</w:t>
      </w:r>
      <w:r w:rsidR="00805210">
        <w:rPr>
          <w:rStyle w:val="FootnoteReference"/>
          <w:rFonts w:asciiTheme="minorHAnsi" w:hAnsiTheme="minorHAnsi" w:cstheme="minorHAnsi"/>
          <w:color w:val="000000" w:themeColor="text1"/>
        </w:rPr>
        <w:footnoteReference w:id="59"/>
      </w:r>
      <w:r w:rsidR="00805210" w:rsidRPr="00C559E5">
        <w:rPr>
          <w:rFonts w:asciiTheme="minorHAnsi" w:hAnsiTheme="minorHAnsi" w:cstheme="minorHAnsi"/>
          <w:color w:val="000000" w:themeColor="text1"/>
          <w:vertAlign w:val="superscript"/>
        </w:rPr>
        <w:t>,</w:t>
      </w:r>
      <w:r w:rsidR="00805210">
        <w:rPr>
          <w:rStyle w:val="FootnoteReference"/>
          <w:rFonts w:asciiTheme="minorHAnsi" w:hAnsiTheme="minorHAnsi" w:cstheme="minorHAnsi"/>
          <w:color w:val="000000" w:themeColor="text1"/>
        </w:rPr>
        <w:footnoteReference w:id="60"/>
      </w:r>
      <w:r w:rsidR="00805210" w:rsidRPr="00C559E5">
        <w:rPr>
          <w:rFonts w:asciiTheme="minorHAnsi" w:hAnsiTheme="minorHAnsi" w:cstheme="minorHAnsi"/>
          <w:color w:val="000000" w:themeColor="text1"/>
          <w:vertAlign w:val="superscript"/>
        </w:rPr>
        <w:t>,</w:t>
      </w:r>
      <w:r w:rsidR="00805210">
        <w:rPr>
          <w:rStyle w:val="FootnoteReference"/>
          <w:rFonts w:asciiTheme="minorHAnsi" w:hAnsiTheme="minorHAnsi" w:cstheme="minorHAnsi"/>
          <w:color w:val="000000" w:themeColor="text1"/>
        </w:rPr>
        <w:footnoteReference w:id="61"/>
      </w:r>
      <w:r w:rsidR="00805210" w:rsidRPr="00C559E5">
        <w:rPr>
          <w:rFonts w:asciiTheme="minorHAnsi" w:hAnsiTheme="minorHAnsi" w:cstheme="minorHAnsi"/>
          <w:color w:val="000000" w:themeColor="text1"/>
          <w:vertAlign w:val="superscript"/>
        </w:rPr>
        <w:t>,</w:t>
      </w:r>
      <w:r w:rsidR="00805210">
        <w:rPr>
          <w:rStyle w:val="FootnoteReference"/>
          <w:rFonts w:asciiTheme="minorHAnsi" w:hAnsiTheme="minorHAnsi" w:cstheme="minorHAnsi"/>
          <w:color w:val="000000" w:themeColor="text1"/>
        </w:rPr>
        <w:footnoteReference w:id="62"/>
      </w:r>
    </w:p>
    <w:p w14:paraId="07E3825F" w14:textId="3E0D34DA" w:rsidR="00753C35" w:rsidRPr="005E7DD1" w:rsidRDefault="00753C35" w:rsidP="003B6C8F">
      <w:pPr>
        <w:autoSpaceDE w:val="0"/>
        <w:autoSpaceDN w:val="0"/>
        <w:adjustRightInd w:val="0"/>
        <w:jc w:val="both"/>
        <w:rPr>
          <w:rFonts w:asciiTheme="minorHAnsi" w:hAnsiTheme="minorHAnsi" w:cstheme="minorHAnsi"/>
          <w:color w:val="000000" w:themeColor="text1"/>
        </w:rPr>
      </w:pPr>
    </w:p>
    <w:p w14:paraId="1BB16DD5" w14:textId="5488A86A" w:rsidR="00753C35" w:rsidRPr="005E7DD1" w:rsidRDefault="00753C35" w:rsidP="003B6C8F">
      <w:pPr>
        <w:autoSpaceDE w:val="0"/>
        <w:autoSpaceDN w:val="0"/>
        <w:adjustRightInd w:val="0"/>
        <w:jc w:val="both"/>
        <w:rPr>
          <w:rFonts w:asciiTheme="minorHAnsi" w:hAnsiTheme="minorHAnsi" w:cstheme="minorHAnsi"/>
          <w:color w:val="000000" w:themeColor="text1"/>
        </w:rPr>
      </w:pPr>
      <w:r w:rsidRPr="005E7DD1">
        <w:rPr>
          <w:rFonts w:asciiTheme="minorHAnsi" w:hAnsiTheme="minorHAnsi" w:cstheme="minorHAnsi"/>
          <w:color w:val="000000" w:themeColor="text1"/>
        </w:rPr>
        <w:t xml:space="preserve">There are five subcategories under marketing: 1) Prohibition on billboards, 2) Required health warnings on advertisements, 3) Prohibitions on therapeutic or health claims, 4) Other Advertising Restrictions, and 5) Restrictions on Marketing to Youth. </w:t>
      </w:r>
    </w:p>
    <w:p w14:paraId="5DCA2A66" w14:textId="448D4E92" w:rsidR="00753C35" w:rsidRPr="005E7DD1" w:rsidRDefault="00753C35" w:rsidP="009429F1">
      <w:pPr>
        <w:autoSpaceDE w:val="0"/>
        <w:autoSpaceDN w:val="0"/>
        <w:adjustRightInd w:val="0"/>
        <w:rPr>
          <w:rFonts w:asciiTheme="minorHAnsi" w:hAnsiTheme="minorHAnsi" w:cstheme="minorHAnsi"/>
          <w:b/>
          <w:color w:val="4472C4" w:themeColor="accent1"/>
        </w:rPr>
      </w:pPr>
    </w:p>
    <w:p w14:paraId="7E2571F4" w14:textId="5B5D25DD" w:rsidR="009429F1" w:rsidRPr="005E7DD1" w:rsidRDefault="00E74F6A" w:rsidP="009429F1">
      <w:pPr>
        <w:autoSpaceDE w:val="0"/>
        <w:autoSpaceDN w:val="0"/>
        <w:adjustRightInd w:val="0"/>
        <w:rPr>
          <w:rFonts w:asciiTheme="minorHAnsi" w:hAnsiTheme="minorHAnsi" w:cstheme="minorHAnsi"/>
          <w:b/>
          <w:color w:val="4472C4" w:themeColor="accent1"/>
        </w:rPr>
      </w:pPr>
      <w:r>
        <w:rPr>
          <w:rFonts w:asciiTheme="minorHAnsi" w:hAnsiTheme="minorHAnsi" w:cstheme="minorHAnsi"/>
          <w:b/>
          <w:color w:val="4472C4" w:themeColor="accent1"/>
        </w:rPr>
        <w:t>Restrictions</w:t>
      </w:r>
      <w:r w:rsidR="009429F1" w:rsidRPr="005E7DD1">
        <w:rPr>
          <w:rFonts w:asciiTheme="minorHAnsi" w:hAnsiTheme="minorHAnsi" w:cstheme="minorHAnsi"/>
          <w:b/>
          <w:color w:val="4472C4" w:themeColor="accent1"/>
        </w:rPr>
        <w:t xml:space="preserve"> on billboards (6 points)</w:t>
      </w:r>
    </w:p>
    <w:p w14:paraId="545EB526" w14:textId="61D867DD" w:rsidR="00753C35" w:rsidRPr="005E7DD1" w:rsidRDefault="00753C35" w:rsidP="003B6C8F">
      <w:pPr>
        <w:autoSpaceDE w:val="0"/>
        <w:autoSpaceDN w:val="0"/>
        <w:adjustRightInd w:val="0"/>
        <w:jc w:val="both"/>
        <w:rPr>
          <w:rFonts w:asciiTheme="minorHAnsi" w:hAnsiTheme="minorHAnsi" w:cstheme="minorHAnsi"/>
        </w:rPr>
      </w:pPr>
      <w:r w:rsidRPr="005E7DD1">
        <w:rPr>
          <w:rFonts w:asciiTheme="minorHAnsi" w:hAnsiTheme="minorHAnsi" w:cstheme="minorHAnsi"/>
          <w:b/>
        </w:rPr>
        <w:lastRenderedPageBreak/>
        <w:t>Description</w:t>
      </w:r>
      <w:r w:rsidRPr="005E7DD1">
        <w:rPr>
          <w:rFonts w:asciiTheme="minorHAnsi" w:hAnsiTheme="minorHAnsi" w:cstheme="minorHAnsi"/>
        </w:rPr>
        <w:t xml:space="preserve">: </w:t>
      </w:r>
      <w:r w:rsidR="003B6FA7">
        <w:rPr>
          <w:rFonts w:asciiTheme="minorHAnsi" w:hAnsiTheme="minorHAnsi" w:cstheme="minorHAnsi"/>
        </w:rPr>
        <w:t>Restricting or p</w:t>
      </w:r>
      <w:r w:rsidR="003B6FA7" w:rsidRPr="005E7DD1">
        <w:rPr>
          <w:rFonts w:asciiTheme="minorHAnsi" w:hAnsiTheme="minorHAnsi" w:cstheme="minorHAnsi"/>
        </w:rPr>
        <w:t xml:space="preserve">rohibiting </w:t>
      </w:r>
      <w:r w:rsidRPr="005E7DD1">
        <w:rPr>
          <w:rFonts w:asciiTheme="minorHAnsi" w:hAnsiTheme="minorHAnsi" w:cstheme="minorHAnsi"/>
        </w:rPr>
        <w:t>the use of billboards to advertise cannabis products</w:t>
      </w:r>
      <w:r w:rsidR="003B6FA7">
        <w:rPr>
          <w:rFonts w:asciiTheme="minorHAnsi" w:hAnsiTheme="minorHAnsi" w:cstheme="minorHAnsi"/>
        </w:rPr>
        <w:t>,</w:t>
      </w:r>
      <w:r w:rsidRPr="005E7DD1">
        <w:rPr>
          <w:rFonts w:asciiTheme="minorHAnsi" w:hAnsiTheme="minorHAnsi" w:cstheme="minorHAnsi"/>
        </w:rPr>
        <w:t xml:space="preserve"> use of products or cannabis businesses. </w:t>
      </w:r>
    </w:p>
    <w:p w14:paraId="3F376528" w14:textId="4B307A4F" w:rsidR="00753C35" w:rsidRPr="005E7DD1" w:rsidRDefault="00753C35" w:rsidP="003B6C8F">
      <w:pPr>
        <w:autoSpaceDE w:val="0"/>
        <w:autoSpaceDN w:val="0"/>
        <w:adjustRightInd w:val="0"/>
        <w:jc w:val="both"/>
        <w:rPr>
          <w:rFonts w:asciiTheme="minorHAnsi" w:hAnsiTheme="minorHAnsi" w:cstheme="minorHAnsi"/>
        </w:rPr>
      </w:pPr>
    </w:p>
    <w:p w14:paraId="35BFEBD8" w14:textId="77C95FEC" w:rsidR="00977C75" w:rsidRPr="00687012" w:rsidRDefault="00753C35" w:rsidP="003B6C8F">
      <w:pPr>
        <w:jc w:val="both"/>
        <w:rPr>
          <w:color w:val="000000" w:themeColor="text1"/>
        </w:rPr>
      </w:pPr>
      <w:r w:rsidRPr="005E7DD1">
        <w:rPr>
          <w:rFonts w:asciiTheme="minorHAnsi" w:hAnsiTheme="minorHAnsi" w:cstheme="minorHAnsi"/>
          <w:b/>
        </w:rPr>
        <w:t>State Law</w:t>
      </w:r>
      <w:r w:rsidRPr="005E7DD1">
        <w:rPr>
          <w:rFonts w:asciiTheme="minorHAnsi" w:hAnsiTheme="minorHAnsi" w:cstheme="minorHAnsi"/>
        </w:rPr>
        <w:t xml:space="preserve">: </w:t>
      </w:r>
      <w:r w:rsidR="00747A79" w:rsidRPr="005E7DD1">
        <w:rPr>
          <w:rFonts w:asciiTheme="minorHAnsi" w:hAnsiTheme="minorHAnsi" w:cstheme="minorHAnsi"/>
        </w:rPr>
        <w:t>By its own language, California law p</w:t>
      </w:r>
      <w:r w:rsidRPr="005E7DD1">
        <w:rPr>
          <w:rFonts w:asciiTheme="minorHAnsi" w:hAnsiTheme="minorHAnsi" w:cstheme="minorHAnsi"/>
        </w:rPr>
        <w:t>rohibits the placement of</w:t>
      </w:r>
      <w:r w:rsidR="007A6306">
        <w:rPr>
          <w:rFonts w:asciiTheme="minorHAnsi" w:hAnsiTheme="minorHAnsi" w:cstheme="minorHAnsi"/>
        </w:rPr>
        <w:t xml:space="preserve"> </w:t>
      </w:r>
      <w:r w:rsidRPr="005E7DD1">
        <w:rPr>
          <w:rFonts w:asciiTheme="minorHAnsi" w:hAnsiTheme="minorHAnsi" w:cstheme="minorHAnsi"/>
        </w:rPr>
        <w:t>billboards advertising cannabis</w:t>
      </w:r>
      <w:r w:rsidR="00747A79" w:rsidRPr="005E7DD1">
        <w:rPr>
          <w:rFonts w:asciiTheme="minorHAnsi" w:hAnsiTheme="minorHAnsi" w:cstheme="minorHAnsi"/>
        </w:rPr>
        <w:t xml:space="preserve"> on an interstate highway.</w:t>
      </w:r>
      <w:r w:rsidR="00747A79" w:rsidRPr="005E7DD1">
        <w:rPr>
          <w:rStyle w:val="FootnoteReference"/>
          <w:rFonts w:asciiTheme="minorHAnsi" w:hAnsiTheme="minorHAnsi" w:cstheme="minorHAnsi"/>
        </w:rPr>
        <w:footnoteReference w:id="63"/>
      </w:r>
      <w:r w:rsidRPr="005E7DD1">
        <w:rPr>
          <w:rFonts w:asciiTheme="minorHAnsi" w:hAnsiTheme="minorHAnsi" w:cstheme="minorHAnsi"/>
        </w:rPr>
        <w:t xml:space="preserve"> </w:t>
      </w:r>
      <w:r w:rsidR="00747A79" w:rsidRPr="005E7DD1">
        <w:rPr>
          <w:rFonts w:asciiTheme="minorHAnsi" w:hAnsiTheme="minorHAnsi" w:cstheme="minorHAnsi"/>
        </w:rPr>
        <w:t>Despite the clear language of the statute</w:t>
      </w:r>
      <w:r w:rsidR="003B6FA7">
        <w:rPr>
          <w:rFonts w:asciiTheme="minorHAnsi" w:hAnsiTheme="minorHAnsi" w:cstheme="minorHAnsi"/>
        </w:rPr>
        <w:t>,</w:t>
      </w:r>
      <w:r w:rsidR="00747A79" w:rsidRPr="005E7DD1">
        <w:rPr>
          <w:rFonts w:asciiTheme="minorHAnsi" w:hAnsiTheme="minorHAnsi" w:cstheme="minorHAnsi"/>
        </w:rPr>
        <w:t xml:space="preserve"> however, the implementing regulations state that this prohibition only applies to </w:t>
      </w:r>
      <w:r w:rsidR="00555749">
        <w:rPr>
          <w:rFonts w:asciiTheme="minorHAnsi" w:hAnsiTheme="minorHAnsi" w:cstheme="minorHAnsi"/>
        </w:rPr>
        <w:t xml:space="preserve">billboard </w:t>
      </w:r>
      <w:r w:rsidR="00747A79" w:rsidRPr="005E7DD1">
        <w:rPr>
          <w:rFonts w:asciiTheme="minorHAnsi" w:hAnsiTheme="minorHAnsi" w:cstheme="minorHAnsi"/>
        </w:rPr>
        <w:t xml:space="preserve">advertisements on </w:t>
      </w:r>
      <w:r w:rsidR="00555749">
        <w:rPr>
          <w:rFonts w:asciiTheme="minorHAnsi" w:hAnsiTheme="minorHAnsi" w:cstheme="minorHAnsi"/>
        </w:rPr>
        <w:t xml:space="preserve">state highways that </w:t>
      </w:r>
      <w:r w:rsidR="00555749" w:rsidRPr="00687012">
        <w:rPr>
          <w:rFonts w:asciiTheme="minorHAnsi" w:hAnsiTheme="minorHAnsi" w:cstheme="minorHAnsi"/>
          <w:color w:val="000000" w:themeColor="text1"/>
        </w:rPr>
        <w:t xml:space="preserve">cross the California border or on Interstate highways </w:t>
      </w:r>
      <w:r w:rsidR="00747A79" w:rsidRPr="00687012">
        <w:rPr>
          <w:rFonts w:asciiTheme="minorHAnsi" w:hAnsiTheme="minorHAnsi" w:cstheme="minorHAnsi"/>
          <w:color w:val="000000" w:themeColor="text1"/>
        </w:rPr>
        <w:t xml:space="preserve">within </w:t>
      </w:r>
      <w:r w:rsidR="00555749" w:rsidRPr="00687012">
        <w:rPr>
          <w:rFonts w:asciiTheme="minorHAnsi" w:hAnsiTheme="minorHAnsi" w:cstheme="minorHAnsi"/>
          <w:color w:val="000000" w:themeColor="text1"/>
        </w:rPr>
        <w:t xml:space="preserve">a </w:t>
      </w:r>
      <w:r w:rsidR="00747A79" w:rsidRPr="00687012">
        <w:rPr>
          <w:rFonts w:asciiTheme="minorHAnsi" w:hAnsiTheme="minorHAnsi" w:cstheme="minorHAnsi"/>
          <w:color w:val="000000" w:themeColor="text1"/>
        </w:rPr>
        <w:t>15 mile</w:t>
      </w:r>
      <w:r w:rsidR="00555749" w:rsidRPr="00687012">
        <w:rPr>
          <w:rFonts w:asciiTheme="minorHAnsi" w:hAnsiTheme="minorHAnsi" w:cstheme="minorHAnsi"/>
          <w:color w:val="000000" w:themeColor="text1"/>
        </w:rPr>
        <w:t xml:space="preserve"> radius</w:t>
      </w:r>
      <w:r w:rsidR="00747A79" w:rsidRPr="00687012">
        <w:rPr>
          <w:rFonts w:asciiTheme="minorHAnsi" w:hAnsiTheme="minorHAnsi" w:cstheme="minorHAnsi"/>
          <w:color w:val="000000" w:themeColor="text1"/>
        </w:rPr>
        <w:t xml:space="preserve"> of </w:t>
      </w:r>
      <w:r w:rsidR="00555749" w:rsidRPr="00687012">
        <w:rPr>
          <w:rFonts w:asciiTheme="minorHAnsi" w:hAnsiTheme="minorHAnsi" w:cstheme="minorHAnsi"/>
          <w:color w:val="000000" w:themeColor="text1"/>
        </w:rPr>
        <w:t>the California</w:t>
      </w:r>
      <w:r w:rsidR="00747A79" w:rsidRPr="00687012">
        <w:rPr>
          <w:rFonts w:asciiTheme="minorHAnsi" w:hAnsiTheme="minorHAnsi" w:cstheme="minorHAnsi"/>
          <w:color w:val="000000" w:themeColor="text1"/>
        </w:rPr>
        <w:t xml:space="preserve"> border.</w:t>
      </w:r>
      <w:r w:rsidR="00747A79" w:rsidRPr="00687012">
        <w:rPr>
          <w:rStyle w:val="FootnoteReference"/>
          <w:rFonts w:asciiTheme="minorHAnsi" w:hAnsiTheme="minorHAnsi" w:cstheme="minorHAnsi"/>
          <w:color w:val="000000" w:themeColor="text1"/>
        </w:rPr>
        <w:footnoteReference w:id="64"/>
      </w:r>
      <w:r w:rsidR="00F94D7B">
        <w:rPr>
          <w:rFonts w:asciiTheme="minorHAnsi" w:hAnsiTheme="minorHAnsi" w:cstheme="minorHAnsi"/>
          <w:color w:val="000000" w:themeColor="text1"/>
        </w:rPr>
        <w:t xml:space="preserve"> </w:t>
      </w:r>
      <w:r w:rsidR="00397A28">
        <w:rPr>
          <w:rFonts w:asciiTheme="minorHAnsi" w:hAnsiTheme="minorHAnsi" w:cstheme="minorHAnsi"/>
          <w:color w:val="000000" w:themeColor="text1"/>
        </w:rPr>
        <w:t xml:space="preserve">This has resulted in widespread billboard advertising on highways across the state, easily seen by children and youth. </w:t>
      </w:r>
      <w:r w:rsidR="00977C75" w:rsidRPr="00687012">
        <w:rPr>
          <w:rFonts w:asciiTheme="minorHAnsi" w:hAnsiTheme="minorHAnsi" w:cstheme="minorHAnsi"/>
          <w:color w:val="000000" w:themeColor="text1"/>
        </w:rPr>
        <w:t xml:space="preserve">Additionally, state law prohibits advertisers from advertising or marketing </w:t>
      </w:r>
      <w:r w:rsidR="00977C75" w:rsidRPr="00687012">
        <w:rPr>
          <w:rFonts w:asciiTheme="minorHAnsi" w:hAnsiTheme="minorHAnsi" w:cstheme="minorHAnsi"/>
          <w:color w:val="000000" w:themeColor="text1"/>
          <w:shd w:val="clear" w:color="auto" w:fill="FFFFFF"/>
        </w:rPr>
        <w:t>“cannabis or cannabis products on an advertising sign within 1,000 feet of a day care center, school providing instruction in kindergarten or any grades 1 to 12, inclusive, playground, or youth center.”</w:t>
      </w:r>
      <w:r w:rsidR="00977C75" w:rsidRPr="00687012">
        <w:rPr>
          <w:rStyle w:val="FootnoteReference"/>
          <w:rFonts w:asciiTheme="minorHAnsi" w:hAnsiTheme="minorHAnsi" w:cstheme="minorHAnsi"/>
          <w:color w:val="000000" w:themeColor="text1"/>
          <w:shd w:val="clear" w:color="auto" w:fill="FFFFFF"/>
        </w:rPr>
        <w:footnoteReference w:id="65"/>
      </w:r>
      <w:r w:rsidR="005D30A2">
        <w:rPr>
          <w:rFonts w:asciiTheme="minorHAnsi" w:hAnsiTheme="minorHAnsi" w:cstheme="minorHAnsi"/>
          <w:color w:val="000000" w:themeColor="text1"/>
          <w:shd w:val="clear" w:color="auto" w:fill="FFFFFF"/>
        </w:rPr>
        <w:t xml:space="preserve"> </w:t>
      </w:r>
      <w:r w:rsidR="00766638">
        <w:rPr>
          <w:rFonts w:asciiTheme="minorHAnsi" w:hAnsiTheme="minorHAnsi" w:cstheme="minorHAnsi"/>
          <w:color w:val="000000" w:themeColor="text1"/>
          <w:shd w:val="clear" w:color="auto" w:fill="FFFFFF"/>
        </w:rPr>
        <w:t xml:space="preserve">Because the state does impose some restrictions on billboards we awarded the state half the available points. </w:t>
      </w:r>
      <w:r w:rsidR="005D30A2">
        <w:rPr>
          <w:rFonts w:asciiTheme="minorHAnsi" w:hAnsiTheme="minorHAnsi" w:cstheme="minorHAnsi"/>
          <w:color w:val="000000" w:themeColor="text1"/>
          <w:shd w:val="clear" w:color="auto" w:fill="FFFFFF"/>
        </w:rPr>
        <w:t xml:space="preserve">Score: </w:t>
      </w:r>
      <w:r w:rsidR="00766638">
        <w:rPr>
          <w:rFonts w:asciiTheme="minorHAnsi" w:hAnsiTheme="minorHAnsi" w:cstheme="minorHAnsi"/>
          <w:color w:val="000000" w:themeColor="text1"/>
          <w:shd w:val="clear" w:color="auto" w:fill="FFFFFF"/>
        </w:rPr>
        <w:t>3</w:t>
      </w:r>
      <w:r w:rsidR="005D30A2">
        <w:rPr>
          <w:rFonts w:asciiTheme="minorHAnsi" w:hAnsiTheme="minorHAnsi" w:cstheme="minorHAnsi"/>
          <w:color w:val="000000" w:themeColor="text1"/>
          <w:shd w:val="clear" w:color="auto" w:fill="FFFFFF"/>
        </w:rPr>
        <w:t>.</w:t>
      </w:r>
    </w:p>
    <w:p w14:paraId="33F088EE" w14:textId="77777777" w:rsidR="00C21A9A" w:rsidRDefault="00C21A9A" w:rsidP="003B6C8F">
      <w:pPr>
        <w:autoSpaceDE w:val="0"/>
        <w:autoSpaceDN w:val="0"/>
        <w:adjustRightInd w:val="0"/>
        <w:jc w:val="both"/>
        <w:rPr>
          <w:rFonts w:asciiTheme="minorHAnsi" w:hAnsiTheme="minorHAnsi" w:cstheme="minorHAnsi"/>
          <w:b/>
        </w:rPr>
      </w:pPr>
    </w:p>
    <w:p w14:paraId="7C872EC8" w14:textId="2DCAC0CE" w:rsidR="00753C35" w:rsidRPr="00977C75" w:rsidRDefault="00747A79" w:rsidP="003B6C8F">
      <w:pPr>
        <w:autoSpaceDE w:val="0"/>
        <w:autoSpaceDN w:val="0"/>
        <w:adjustRightInd w:val="0"/>
        <w:jc w:val="both"/>
        <w:rPr>
          <w:rFonts w:asciiTheme="minorHAnsi" w:hAnsiTheme="minorHAnsi" w:cstheme="minorHAnsi"/>
          <w:bCs/>
        </w:rPr>
      </w:pPr>
      <w:r w:rsidRPr="005E7DD1">
        <w:rPr>
          <w:rFonts w:asciiTheme="minorHAnsi" w:hAnsiTheme="minorHAnsi" w:cstheme="minorHAnsi"/>
          <w:b/>
        </w:rPr>
        <w:t>Rationale</w:t>
      </w:r>
      <w:r w:rsidR="00C21A9A">
        <w:rPr>
          <w:rFonts w:asciiTheme="minorHAnsi" w:hAnsiTheme="minorHAnsi" w:cstheme="minorHAnsi"/>
          <w:b/>
        </w:rPr>
        <w:t xml:space="preserve"> &amp; Points:</w:t>
      </w:r>
      <w:r w:rsidR="00555749">
        <w:rPr>
          <w:rFonts w:asciiTheme="minorHAnsi" w:hAnsiTheme="minorHAnsi" w:cstheme="minorHAnsi"/>
          <w:b/>
        </w:rPr>
        <w:t xml:space="preserve"> </w:t>
      </w:r>
      <w:bookmarkStart w:id="0" w:name="OLE_LINK1"/>
      <w:bookmarkStart w:id="1" w:name="OLE_LINK2"/>
      <w:r w:rsidR="00024BEB" w:rsidRPr="00977C75">
        <w:rPr>
          <w:rFonts w:asciiTheme="minorHAnsi" w:hAnsiTheme="minorHAnsi" w:cstheme="minorHAnsi"/>
          <w:bCs/>
        </w:rPr>
        <w:t>It has been well</w:t>
      </w:r>
      <w:r w:rsidR="00024BEB">
        <w:rPr>
          <w:rFonts w:asciiTheme="minorHAnsi" w:hAnsiTheme="minorHAnsi" w:cstheme="minorHAnsi"/>
          <w:b/>
        </w:rPr>
        <w:t xml:space="preserve"> </w:t>
      </w:r>
      <w:r w:rsidR="00024BEB">
        <w:rPr>
          <w:rFonts w:asciiTheme="minorHAnsi" w:hAnsiTheme="minorHAnsi" w:cstheme="minorHAnsi"/>
          <w:bCs/>
        </w:rPr>
        <w:t>documented that youth exposure to advertising increases youth interest in, use, and positive perceptions of product use.</w:t>
      </w:r>
      <w:r w:rsidR="00024BEB">
        <w:rPr>
          <w:rStyle w:val="FootnoteReference"/>
          <w:rFonts w:asciiTheme="minorHAnsi" w:hAnsiTheme="minorHAnsi" w:cstheme="minorHAnsi"/>
          <w:bCs/>
        </w:rPr>
        <w:footnoteReference w:id="66"/>
      </w:r>
      <w:r w:rsidR="00024BEB" w:rsidRPr="00977C75">
        <w:rPr>
          <w:rFonts w:asciiTheme="minorHAnsi" w:hAnsiTheme="minorHAnsi" w:cstheme="minorHAnsi"/>
          <w:bCs/>
          <w:vertAlign w:val="superscript"/>
        </w:rPr>
        <w:t>,</w:t>
      </w:r>
      <w:r w:rsidR="00024BEB">
        <w:rPr>
          <w:rStyle w:val="FootnoteReference"/>
          <w:rFonts w:asciiTheme="minorHAnsi" w:hAnsiTheme="minorHAnsi" w:cstheme="minorHAnsi"/>
          <w:bCs/>
        </w:rPr>
        <w:footnoteReference w:id="67"/>
      </w:r>
      <w:r w:rsidR="00024BEB">
        <w:rPr>
          <w:rFonts w:asciiTheme="minorHAnsi" w:hAnsiTheme="minorHAnsi" w:cstheme="minorHAnsi"/>
          <w:bCs/>
        </w:rPr>
        <w:t xml:space="preserve"> </w:t>
      </w:r>
      <w:bookmarkEnd w:id="0"/>
      <w:bookmarkEnd w:id="1"/>
      <w:r w:rsidR="00024BEB">
        <w:rPr>
          <w:rFonts w:asciiTheme="minorHAnsi" w:hAnsiTheme="minorHAnsi" w:cstheme="minorHAnsi"/>
          <w:bCs/>
        </w:rPr>
        <w:t>W</w:t>
      </w:r>
      <w:r w:rsidR="00555749" w:rsidRPr="00977C75">
        <w:rPr>
          <w:rFonts w:asciiTheme="minorHAnsi" w:hAnsiTheme="minorHAnsi" w:cstheme="minorHAnsi"/>
          <w:bCs/>
        </w:rPr>
        <w:t xml:space="preserve">hereas broadcast, print and digital advertising </w:t>
      </w:r>
      <w:r w:rsidR="00024BEB" w:rsidRPr="00977C75">
        <w:rPr>
          <w:rFonts w:asciiTheme="minorHAnsi" w:hAnsiTheme="minorHAnsi" w:cstheme="minorHAnsi"/>
          <w:bCs/>
        </w:rPr>
        <w:t>can uti</w:t>
      </w:r>
      <w:r w:rsidR="00024BEB">
        <w:rPr>
          <w:rFonts w:asciiTheme="minorHAnsi" w:hAnsiTheme="minorHAnsi" w:cstheme="minorHAnsi"/>
          <w:bCs/>
        </w:rPr>
        <w:t xml:space="preserve">lizing audience composition data to limit advertising placement in media where underage youth are likely to be exposed, there is no relevant corollary for outdoor advertising, and thus no means of allowing outdoor advertising without risking youth exposure. </w:t>
      </w:r>
      <w:r w:rsidR="007318F2">
        <w:rPr>
          <w:rFonts w:asciiTheme="minorHAnsi" w:hAnsiTheme="minorHAnsi" w:cstheme="minorHAnsi"/>
          <w:bCs/>
        </w:rPr>
        <w:t>If a local jurisdiction</w:t>
      </w:r>
      <w:r w:rsidR="00B35482">
        <w:rPr>
          <w:rFonts w:asciiTheme="minorHAnsi" w:hAnsiTheme="minorHAnsi" w:cstheme="minorHAnsi"/>
          <w:bCs/>
        </w:rPr>
        <w:t xml:space="preserve"> places restrictions in excess of state law, they are awarded 3 points</w:t>
      </w:r>
      <w:r w:rsidR="00977C75">
        <w:rPr>
          <w:rFonts w:asciiTheme="minorHAnsi" w:hAnsiTheme="minorHAnsi" w:cstheme="minorHAnsi"/>
          <w:bCs/>
        </w:rPr>
        <w:t>. If the jurisdiction</w:t>
      </w:r>
      <w:r w:rsidR="007318F2">
        <w:rPr>
          <w:rFonts w:asciiTheme="minorHAnsi" w:hAnsiTheme="minorHAnsi" w:cstheme="minorHAnsi"/>
          <w:bCs/>
        </w:rPr>
        <w:t xml:space="preserve"> prohibits the use of billboards for advertising cannabis products, use or businesses, they are awarded 6 points.</w:t>
      </w:r>
    </w:p>
    <w:p w14:paraId="2CC6E9AE" w14:textId="77777777" w:rsidR="00747A79" w:rsidRPr="005E7DD1" w:rsidRDefault="00747A79" w:rsidP="003B6C8F">
      <w:pPr>
        <w:autoSpaceDE w:val="0"/>
        <w:autoSpaceDN w:val="0"/>
        <w:adjustRightInd w:val="0"/>
        <w:jc w:val="both"/>
        <w:rPr>
          <w:rFonts w:asciiTheme="minorHAnsi" w:hAnsiTheme="minorHAnsi" w:cstheme="minorHAnsi"/>
        </w:rPr>
      </w:pPr>
    </w:p>
    <w:p w14:paraId="5866A1F0" w14:textId="65FF7B32" w:rsidR="009429F1" w:rsidRPr="005E7DD1" w:rsidRDefault="009429F1" w:rsidP="003B6C8F">
      <w:pPr>
        <w:autoSpaceDE w:val="0"/>
        <w:autoSpaceDN w:val="0"/>
        <w:adjustRightInd w:val="0"/>
        <w:jc w:val="both"/>
        <w:rPr>
          <w:rFonts w:asciiTheme="minorHAnsi" w:hAnsiTheme="minorHAnsi" w:cstheme="minorHAnsi"/>
          <w:b/>
          <w:color w:val="4472C4" w:themeColor="accent1"/>
        </w:rPr>
      </w:pPr>
      <w:r w:rsidRPr="005E7DD1">
        <w:rPr>
          <w:rFonts w:asciiTheme="minorHAnsi" w:hAnsiTheme="minorHAnsi" w:cstheme="minorHAnsi"/>
          <w:b/>
          <w:color w:val="4472C4" w:themeColor="accent1"/>
        </w:rPr>
        <w:t>Required health warnings on ads (4 points)</w:t>
      </w:r>
    </w:p>
    <w:p w14:paraId="152615D8" w14:textId="16289754" w:rsidR="00747A79" w:rsidRPr="005E7DD1" w:rsidRDefault="00747A79" w:rsidP="003B6C8F">
      <w:pPr>
        <w:autoSpaceDE w:val="0"/>
        <w:autoSpaceDN w:val="0"/>
        <w:adjustRightInd w:val="0"/>
        <w:jc w:val="both"/>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Description: </w:t>
      </w:r>
      <w:r w:rsidRPr="005E7DD1">
        <w:rPr>
          <w:rFonts w:asciiTheme="minorHAnsi" w:hAnsiTheme="minorHAnsi" w:cstheme="minorHAnsi"/>
          <w:color w:val="000000" w:themeColor="text1"/>
        </w:rPr>
        <w:t>Requiring specified health warnings on all cannabis product advertisements</w:t>
      </w:r>
      <w:r w:rsidR="00024BEB">
        <w:rPr>
          <w:rFonts w:asciiTheme="minorHAnsi" w:hAnsiTheme="minorHAnsi" w:cstheme="minorHAnsi"/>
          <w:color w:val="000000" w:themeColor="text1"/>
        </w:rPr>
        <w:t>.</w:t>
      </w:r>
      <w:r w:rsidRPr="005E7DD1">
        <w:rPr>
          <w:rFonts w:asciiTheme="minorHAnsi" w:hAnsiTheme="minorHAnsi" w:cstheme="minorHAnsi"/>
          <w:color w:val="000000" w:themeColor="text1"/>
        </w:rPr>
        <w:t xml:space="preserve"> </w:t>
      </w:r>
    </w:p>
    <w:p w14:paraId="2E50D0AC" w14:textId="6D621220" w:rsidR="00747A79" w:rsidRPr="005E7DD1" w:rsidRDefault="00747A79" w:rsidP="003B6C8F">
      <w:pPr>
        <w:autoSpaceDE w:val="0"/>
        <w:autoSpaceDN w:val="0"/>
        <w:adjustRightInd w:val="0"/>
        <w:jc w:val="both"/>
        <w:rPr>
          <w:rFonts w:asciiTheme="minorHAnsi" w:hAnsiTheme="minorHAnsi" w:cstheme="minorHAnsi"/>
          <w:color w:val="000000" w:themeColor="text1"/>
        </w:rPr>
      </w:pPr>
    </w:p>
    <w:p w14:paraId="665E45F1" w14:textId="706566F8" w:rsidR="00747A79" w:rsidRPr="00977C75" w:rsidRDefault="00747A79" w:rsidP="003B6C8F">
      <w:pPr>
        <w:autoSpaceDE w:val="0"/>
        <w:autoSpaceDN w:val="0"/>
        <w:adjustRightInd w:val="0"/>
        <w:jc w:val="both"/>
        <w:rPr>
          <w:rFonts w:asciiTheme="minorHAnsi" w:hAnsiTheme="minorHAnsi" w:cstheme="minorHAnsi"/>
          <w:bCs/>
          <w:color w:val="000000" w:themeColor="text1"/>
        </w:rPr>
      </w:pPr>
      <w:r w:rsidRPr="005E7DD1">
        <w:rPr>
          <w:rFonts w:asciiTheme="minorHAnsi" w:hAnsiTheme="minorHAnsi" w:cstheme="minorHAnsi"/>
          <w:b/>
          <w:color w:val="000000" w:themeColor="text1"/>
        </w:rPr>
        <w:t xml:space="preserve">State Law: </w:t>
      </w:r>
      <w:r w:rsidR="00805210" w:rsidRPr="00977C75">
        <w:rPr>
          <w:rFonts w:asciiTheme="minorHAnsi" w:hAnsiTheme="minorHAnsi" w:cstheme="minorHAnsi"/>
          <w:bCs/>
          <w:color w:val="000000" w:themeColor="text1"/>
        </w:rPr>
        <w:t>None.</w:t>
      </w:r>
      <w:r w:rsidR="003B6FA7">
        <w:rPr>
          <w:rFonts w:asciiTheme="minorHAnsi" w:hAnsiTheme="minorHAnsi" w:cstheme="minorHAnsi"/>
          <w:bCs/>
          <w:color w:val="000000" w:themeColor="text1"/>
        </w:rPr>
        <w:t xml:space="preserve"> Score: 0.</w:t>
      </w:r>
    </w:p>
    <w:p w14:paraId="79CB5AA1" w14:textId="0960C309" w:rsidR="00747A79" w:rsidRPr="005E7DD1" w:rsidRDefault="00747A79" w:rsidP="003B6C8F">
      <w:pPr>
        <w:autoSpaceDE w:val="0"/>
        <w:autoSpaceDN w:val="0"/>
        <w:adjustRightInd w:val="0"/>
        <w:jc w:val="both"/>
        <w:rPr>
          <w:rFonts w:asciiTheme="minorHAnsi" w:hAnsiTheme="minorHAnsi" w:cstheme="minorHAnsi"/>
          <w:b/>
          <w:color w:val="000000" w:themeColor="text1"/>
        </w:rPr>
      </w:pPr>
    </w:p>
    <w:p w14:paraId="6026DD26" w14:textId="4FF45B7B" w:rsidR="00747A79" w:rsidRPr="005E7DD1" w:rsidRDefault="00747A79" w:rsidP="003B6C8F">
      <w:pPr>
        <w:autoSpaceDE w:val="0"/>
        <w:autoSpaceDN w:val="0"/>
        <w:adjustRightInd w:val="0"/>
        <w:jc w:val="both"/>
        <w:rPr>
          <w:rFonts w:asciiTheme="minorHAnsi" w:hAnsiTheme="minorHAnsi" w:cstheme="minorHAnsi"/>
          <w:b/>
          <w:color w:val="000000" w:themeColor="text1"/>
        </w:rPr>
      </w:pPr>
      <w:r w:rsidRPr="005E7DD1">
        <w:rPr>
          <w:rFonts w:asciiTheme="minorHAnsi" w:hAnsiTheme="minorHAnsi" w:cstheme="minorHAnsi"/>
          <w:b/>
          <w:color w:val="000000" w:themeColor="text1"/>
        </w:rPr>
        <w:t>Rationale</w:t>
      </w:r>
      <w:r w:rsidR="00C21A9A">
        <w:rPr>
          <w:rFonts w:asciiTheme="minorHAnsi" w:hAnsiTheme="minorHAnsi" w:cstheme="minorHAnsi"/>
          <w:b/>
          <w:color w:val="000000" w:themeColor="text1"/>
        </w:rPr>
        <w:t xml:space="preserve"> &amp; Points</w:t>
      </w:r>
      <w:r w:rsidRPr="005E7DD1">
        <w:rPr>
          <w:rFonts w:asciiTheme="minorHAnsi" w:hAnsiTheme="minorHAnsi" w:cstheme="minorHAnsi"/>
          <w:b/>
          <w:color w:val="000000" w:themeColor="text1"/>
        </w:rPr>
        <w:t xml:space="preserve">: </w:t>
      </w:r>
      <w:r w:rsidR="00311D00" w:rsidRPr="005E7DD1">
        <w:rPr>
          <w:rFonts w:asciiTheme="minorHAnsi" w:hAnsiTheme="minorHAnsi" w:cstheme="minorHAnsi"/>
          <w:color w:val="000000" w:themeColor="text1"/>
        </w:rPr>
        <w:t>Public perception of the risk</w:t>
      </w:r>
      <w:r w:rsidR="003B6FA7">
        <w:rPr>
          <w:rFonts w:asciiTheme="minorHAnsi" w:hAnsiTheme="minorHAnsi" w:cstheme="minorHAnsi"/>
          <w:color w:val="000000" w:themeColor="text1"/>
        </w:rPr>
        <w:t>s</w:t>
      </w:r>
      <w:r w:rsidR="00311D00" w:rsidRPr="005E7DD1">
        <w:rPr>
          <w:rFonts w:asciiTheme="minorHAnsi" w:hAnsiTheme="minorHAnsi" w:cstheme="minorHAnsi"/>
          <w:color w:val="000000" w:themeColor="text1"/>
        </w:rPr>
        <w:t xml:space="preserve"> of cannabis consumption ha</w:t>
      </w:r>
      <w:r w:rsidR="003B6FA7">
        <w:rPr>
          <w:rFonts w:asciiTheme="minorHAnsi" w:hAnsiTheme="minorHAnsi" w:cstheme="minorHAnsi"/>
          <w:color w:val="000000" w:themeColor="text1"/>
        </w:rPr>
        <w:t>s</w:t>
      </w:r>
      <w:r w:rsidR="00311D00" w:rsidRPr="005E7DD1">
        <w:rPr>
          <w:rFonts w:asciiTheme="minorHAnsi" w:hAnsiTheme="minorHAnsi" w:cstheme="minorHAnsi"/>
          <w:color w:val="000000" w:themeColor="text1"/>
        </w:rPr>
        <w:t xml:space="preserve"> fallen dramatically from 58.3% to 31.1% of youth nationally between 2000 and 2016.</w:t>
      </w:r>
      <w:r w:rsidR="00311D00" w:rsidRPr="005E7DD1">
        <w:rPr>
          <w:rStyle w:val="FootnoteReference"/>
          <w:rFonts w:asciiTheme="minorHAnsi" w:hAnsiTheme="minorHAnsi" w:cstheme="minorHAnsi"/>
          <w:color w:val="000000" w:themeColor="text1"/>
        </w:rPr>
        <w:footnoteReference w:id="68"/>
      </w:r>
      <w:r w:rsidR="007318F2">
        <w:rPr>
          <w:rFonts w:asciiTheme="minorHAnsi" w:hAnsiTheme="minorHAnsi" w:cstheme="minorHAnsi"/>
          <w:color w:val="000000" w:themeColor="text1"/>
        </w:rPr>
        <w:t xml:space="preserve"> Reported exposure to </w:t>
      </w:r>
      <w:r w:rsidR="00F94D7B">
        <w:rPr>
          <w:rFonts w:asciiTheme="minorHAnsi" w:hAnsiTheme="minorHAnsi" w:cstheme="minorHAnsi"/>
          <w:color w:val="000000" w:themeColor="text1"/>
        </w:rPr>
        <w:t>cannabis</w:t>
      </w:r>
      <w:r w:rsidR="007318F2">
        <w:rPr>
          <w:rFonts w:asciiTheme="minorHAnsi" w:hAnsiTheme="minorHAnsi" w:cstheme="minorHAnsi"/>
          <w:color w:val="000000" w:themeColor="text1"/>
        </w:rPr>
        <w:t xml:space="preserve"> advertising is common</w:t>
      </w:r>
      <w:r w:rsidR="000C4D86">
        <w:rPr>
          <w:rFonts w:asciiTheme="minorHAnsi" w:hAnsiTheme="minorHAnsi" w:cstheme="minorHAnsi"/>
          <w:color w:val="000000" w:themeColor="text1"/>
        </w:rPr>
        <w:t>,</w:t>
      </w:r>
      <w:r w:rsidR="007318F2">
        <w:rPr>
          <w:rStyle w:val="FootnoteReference"/>
          <w:rFonts w:asciiTheme="minorHAnsi" w:hAnsiTheme="minorHAnsi" w:cstheme="minorHAnsi"/>
          <w:color w:val="000000" w:themeColor="text1"/>
        </w:rPr>
        <w:footnoteReference w:id="69"/>
      </w:r>
      <w:r w:rsidR="007318F2">
        <w:rPr>
          <w:rFonts w:asciiTheme="minorHAnsi" w:hAnsiTheme="minorHAnsi" w:cstheme="minorHAnsi"/>
          <w:color w:val="000000" w:themeColor="text1"/>
        </w:rPr>
        <w:t xml:space="preserve"> and including a health warning on advertisements may inform potential consumers and youth about risks. If a local jurisdiction requires a health warning on advertisements they are awarded 4 points.</w:t>
      </w:r>
      <w:r w:rsidR="006C46DE">
        <w:rPr>
          <w:rFonts w:asciiTheme="minorHAnsi" w:hAnsiTheme="minorHAnsi" w:cstheme="minorHAnsi"/>
          <w:color w:val="000000" w:themeColor="text1"/>
        </w:rPr>
        <w:t xml:space="preserve"> This is modeled after the Surgeon General’s warning on tobacco advertisements.</w:t>
      </w:r>
      <w:r w:rsidR="000C4D86">
        <w:rPr>
          <w:rStyle w:val="FootnoteReference"/>
          <w:rFonts w:asciiTheme="minorHAnsi" w:hAnsiTheme="minorHAnsi" w:cstheme="minorHAnsi"/>
          <w:color w:val="000000" w:themeColor="text1"/>
        </w:rPr>
        <w:footnoteReference w:id="70"/>
      </w:r>
    </w:p>
    <w:p w14:paraId="745F47BB" w14:textId="77777777" w:rsidR="009429F1" w:rsidRPr="005E7DD1" w:rsidRDefault="009429F1" w:rsidP="009429F1">
      <w:pPr>
        <w:autoSpaceDE w:val="0"/>
        <w:autoSpaceDN w:val="0"/>
        <w:adjustRightInd w:val="0"/>
        <w:rPr>
          <w:rFonts w:asciiTheme="minorHAnsi" w:hAnsiTheme="minorHAnsi" w:cstheme="minorHAnsi"/>
        </w:rPr>
      </w:pPr>
    </w:p>
    <w:p w14:paraId="064FBF15" w14:textId="6B2F01E8" w:rsidR="009429F1" w:rsidRPr="005E7DD1" w:rsidRDefault="00687012" w:rsidP="003B6C8F">
      <w:pPr>
        <w:autoSpaceDE w:val="0"/>
        <w:autoSpaceDN w:val="0"/>
        <w:adjustRightInd w:val="0"/>
        <w:jc w:val="both"/>
        <w:rPr>
          <w:rFonts w:asciiTheme="minorHAnsi" w:hAnsiTheme="minorHAnsi" w:cstheme="minorHAnsi"/>
          <w:b/>
          <w:color w:val="4472C4" w:themeColor="accent1"/>
        </w:rPr>
      </w:pPr>
      <w:r>
        <w:rPr>
          <w:rFonts w:asciiTheme="minorHAnsi" w:hAnsiTheme="minorHAnsi" w:cstheme="minorHAnsi"/>
          <w:b/>
          <w:color w:val="4472C4" w:themeColor="accent1"/>
        </w:rPr>
        <w:t xml:space="preserve">Prohibition </w:t>
      </w:r>
      <w:r w:rsidR="009429F1" w:rsidRPr="005E7DD1">
        <w:rPr>
          <w:rFonts w:asciiTheme="minorHAnsi" w:hAnsiTheme="minorHAnsi" w:cstheme="minorHAnsi"/>
          <w:b/>
          <w:color w:val="4472C4" w:themeColor="accent1"/>
        </w:rPr>
        <w:t>on therapeutic or health claims (3 points)</w:t>
      </w:r>
    </w:p>
    <w:p w14:paraId="257F714C" w14:textId="0375E893" w:rsidR="00AF4F78" w:rsidRPr="005E7DD1" w:rsidRDefault="00AF4F78" w:rsidP="003B6C8F">
      <w:pPr>
        <w:autoSpaceDE w:val="0"/>
        <w:autoSpaceDN w:val="0"/>
        <w:adjustRightInd w:val="0"/>
        <w:jc w:val="both"/>
        <w:rPr>
          <w:rFonts w:asciiTheme="minorHAnsi" w:hAnsiTheme="minorHAnsi" w:cstheme="minorHAnsi"/>
          <w:color w:val="000000" w:themeColor="text1"/>
        </w:rPr>
      </w:pPr>
      <w:r w:rsidRPr="005E7DD1">
        <w:rPr>
          <w:rFonts w:asciiTheme="minorHAnsi" w:hAnsiTheme="minorHAnsi" w:cstheme="minorHAnsi"/>
          <w:b/>
          <w:color w:val="000000" w:themeColor="text1"/>
        </w:rPr>
        <w:t>Description:</w:t>
      </w:r>
      <w:r w:rsidRPr="005E7DD1">
        <w:rPr>
          <w:rFonts w:asciiTheme="minorHAnsi" w:hAnsiTheme="minorHAnsi" w:cstheme="minorHAnsi"/>
          <w:color w:val="000000" w:themeColor="text1"/>
        </w:rPr>
        <w:t xml:space="preserve"> Prohibiting the use of </w:t>
      </w:r>
      <w:r w:rsidR="00927C34" w:rsidRPr="005E7DD1">
        <w:rPr>
          <w:rFonts w:asciiTheme="minorHAnsi" w:hAnsiTheme="minorHAnsi" w:cstheme="minorHAnsi"/>
          <w:color w:val="000000" w:themeColor="text1"/>
        </w:rPr>
        <w:t>therapeutic</w:t>
      </w:r>
      <w:r w:rsidRPr="005E7DD1">
        <w:rPr>
          <w:rFonts w:asciiTheme="minorHAnsi" w:hAnsiTheme="minorHAnsi" w:cstheme="minorHAnsi"/>
          <w:color w:val="000000" w:themeColor="text1"/>
        </w:rPr>
        <w:t xml:space="preserve"> or health claims on any adult</w:t>
      </w:r>
      <w:r w:rsidR="003B6FA7">
        <w:rPr>
          <w:rFonts w:asciiTheme="minorHAnsi" w:hAnsiTheme="minorHAnsi" w:cstheme="minorHAnsi"/>
          <w:color w:val="000000" w:themeColor="text1"/>
        </w:rPr>
        <w:t>-</w:t>
      </w:r>
      <w:r w:rsidRPr="005E7DD1">
        <w:rPr>
          <w:rFonts w:asciiTheme="minorHAnsi" w:hAnsiTheme="minorHAnsi" w:cstheme="minorHAnsi"/>
          <w:color w:val="000000" w:themeColor="text1"/>
        </w:rPr>
        <w:t>use cannabis product, packaging or advertis</w:t>
      </w:r>
      <w:r w:rsidR="003B6FA7">
        <w:rPr>
          <w:rFonts w:asciiTheme="minorHAnsi" w:hAnsiTheme="minorHAnsi" w:cstheme="minorHAnsi"/>
          <w:color w:val="000000" w:themeColor="text1"/>
        </w:rPr>
        <w:t>ement</w:t>
      </w:r>
      <w:r w:rsidRPr="005E7DD1">
        <w:rPr>
          <w:rFonts w:asciiTheme="minorHAnsi" w:hAnsiTheme="minorHAnsi" w:cstheme="minorHAnsi"/>
          <w:color w:val="000000" w:themeColor="text1"/>
        </w:rPr>
        <w:t xml:space="preserve">. </w:t>
      </w:r>
    </w:p>
    <w:p w14:paraId="73BA5BE7" w14:textId="77777777" w:rsidR="00AF4F78" w:rsidRPr="003360B5" w:rsidRDefault="00AF4F78" w:rsidP="003B6C8F">
      <w:pPr>
        <w:autoSpaceDE w:val="0"/>
        <w:autoSpaceDN w:val="0"/>
        <w:adjustRightInd w:val="0"/>
        <w:jc w:val="both"/>
        <w:rPr>
          <w:rFonts w:asciiTheme="minorHAnsi" w:hAnsiTheme="minorHAnsi" w:cstheme="minorHAnsi"/>
          <w:color w:val="000000" w:themeColor="text1"/>
        </w:rPr>
      </w:pPr>
    </w:p>
    <w:p w14:paraId="083FA9E8" w14:textId="2C88E6BC" w:rsidR="003360B5" w:rsidRPr="003360B5" w:rsidRDefault="00AF4F78" w:rsidP="003B6C8F">
      <w:pPr>
        <w:jc w:val="both"/>
        <w:rPr>
          <w:rFonts w:asciiTheme="minorHAnsi" w:hAnsiTheme="minorHAnsi" w:cstheme="minorHAnsi"/>
        </w:rPr>
      </w:pPr>
      <w:r w:rsidRPr="003360B5">
        <w:rPr>
          <w:rFonts w:asciiTheme="minorHAnsi" w:hAnsiTheme="minorHAnsi" w:cstheme="minorHAnsi"/>
          <w:b/>
          <w:color w:val="000000" w:themeColor="text1"/>
        </w:rPr>
        <w:t>State Law:</w:t>
      </w:r>
      <w:r w:rsidR="003360B5" w:rsidRPr="003360B5">
        <w:rPr>
          <w:rFonts w:asciiTheme="minorHAnsi" w:hAnsiTheme="minorHAnsi" w:cstheme="minorHAnsi"/>
          <w:b/>
          <w:color w:val="000000" w:themeColor="text1"/>
        </w:rPr>
        <w:t xml:space="preserve"> </w:t>
      </w:r>
      <w:r w:rsidR="003360B5" w:rsidRPr="003360B5">
        <w:rPr>
          <w:rFonts w:asciiTheme="minorHAnsi" w:hAnsiTheme="minorHAnsi" w:cstheme="minorHAnsi"/>
          <w:color w:val="000000" w:themeColor="text1"/>
        </w:rPr>
        <w:t>Provides that “</w:t>
      </w:r>
      <w:r w:rsidR="003360B5" w:rsidRPr="00E74F6A">
        <w:rPr>
          <w:rFonts w:asciiTheme="minorHAnsi" w:hAnsiTheme="minorHAnsi" w:cstheme="minorHAnsi"/>
        </w:rPr>
        <w:t>a</w:t>
      </w:r>
      <w:r w:rsidR="003360B5" w:rsidRPr="00E74F6A">
        <w:rPr>
          <w:rFonts w:asciiTheme="minorHAnsi" w:hAnsiTheme="minorHAnsi" w:cstheme="minorHAnsi"/>
          <w:shd w:val="clear" w:color="auto" w:fill="FFFFFF"/>
        </w:rPr>
        <w:t xml:space="preserve"> licensee shall not include on the label of any cannabis or cannabis product or publish or disseminate advertising or marketing containing any health-related statement that is untrue in any particular manner or tends to create a misleading impression as to the effects on health of cannabis consumption.”</w:t>
      </w:r>
      <w:r w:rsidR="003360B5" w:rsidRPr="00E74F6A">
        <w:rPr>
          <w:rStyle w:val="FootnoteReference"/>
          <w:rFonts w:asciiTheme="minorHAnsi" w:hAnsiTheme="minorHAnsi" w:cstheme="minorHAnsi"/>
          <w:shd w:val="clear" w:color="auto" w:fill="FFFFFF"/>
        </w:rPr>
        <w:footnoteReference w:id="71"/>
      </w:r>
      <w:r w:rsidR="003360B5" w:rsidRPr="00E74F6A">
        <w:rPr>
          <w:rFonts w:asciiTheme="minorHAnsi" w:hAnsiTheme="minorHAnsi" w:cstheme="minorHAnsi"/>
          <w:shd w:val="clear" w:color="auto" w:fill="FFFFFF"/>
        </w:rPr>
        <w:t xml:space="preserve"> </w:t>
      </w:r>
      <w:r w:rsidR="003B6FA7">
        <w:rPr>
          <w:rFonts w:asciiTheme="minorHAnsi" w:hAnsiTheme="minorHAnsi" w:cstheme="minorHAnsi"/>
          <w:shd w:val="clear" w:color="auto" w:fill="FFFFFF"/>
        </w:rPr>
        <w:t>Score: 3.</w:t>
      </w:r>
    </w:p>
    <w:p w14:paraId="63835951" w14:textId="77777777" w:rsidR="00AF4F78" w:rsidRPr="005E7DD1" w:rsidRDefault="00AF4F78" w:rsidP="009429F1">
      <w:pPr>
        <w:jc w:val="both"/>
        <w:rPr>
          <w:rFonts w:asciiTheme="minorHAnsi" w:hAnsiTheme="minorHAnsi" w:cstheme="minorHAnsi"/>
          <w:b/>
          <w:color w:val="000000" w:themeColor="text1"/>
        </w:rPr>
      </w:pPr>
    </w:p>
    <w:p w14:paraId="3C623CB4" w14:textId="5F1D772A" w:rsidR="009429F1" w:rsidRPr="00C21A9A" w:rsidRDefault="00AF4F78" w:rsidP="009429F1">
      <w:pPr>
        <w:jc w:val="both"/>
        <w:rPr>
          <w:rFonts w:asciiTheme="minorHAnsi" w:hAnsiTheme="minorHAnsi" w:cstheme="minorHAnsi"/>
          <w:b/>
          <w:color w:val="000000" w:themeColor="text1"/>
        </w:rPr>
      </w:pPr>
      <w:r w:rsidRPr="005E7DD1">
        <w:rPr>
          <w:rFonts w:asciiTheme="minorHAnsi" w:hAnsiTheme="minorHAnsi" w:cstheme="minorHAnsi"/>
          <w:b/>
          <w:color w:val="000000" w:themeColor="text1"/>
        </w:rPr>
        <w:t>Rationale</w:t>
      </w:r>
      <w:r w:rsidR="00C21A9A">
        <w:rPr>
          <w:rFonts w:asciiTheme="minorHAnsi" w:hAnsiTheme="minorHAnsi" w:cstheme="minorHAnsi"/>
          <w:b/>
          <w:color w:val="000000" w:themeColor="text1"/>
        </w:rPr>
        <w:t xml:space="preserve"> &amp; Points: </w:t>
      </w:r>
      <w:r w:rsidR="009429F1" w:rsidRPr="005E7DD1">
        <w:rPr>
          <w:rFonts w:asciiTheme="minorHAnsi" w:hAnsiTheme="minorHAnsi" w:cstheme="minorHAnsi"/>
          <w:color w:val="000000" w:themeColor="text1"/>
        </w:rPr>
        <w:t xml:space="preserve">One unique aspect to cannabis that is </w:t>
      </w:r>
      <w:r w:rsidR="006C46DE">
        <w:rPr>
          <w:rFonts w:asciiTheme="minorHAnsi" w:hAnsiTheme="minorHAnsi" w:cstheme="minorHAnsi"/>
          <w:color w:val="000000" w:themeColor="text1"/>
        </w:rPr>
        <w:t xml:space="preserve">currently </w:t>
      </w:r>
      <w:r w:rsidR="009429F1" w:rsidRPr="005E7DD1">
        <w:rPr>
          <w:rFonts w:asciiTheme="minorHAnsi" w:hAnsiTheme="minorHAnsi" w:cstheme="minorHAnsi"/>
          <w:color w:val="000000" w:themeColor="text1"/>
        </w:rPr>
        <w:t xml:space="preserve">absent from tobacco and alcohol marketing is the </w:t>
      </w:r>
      <w:r w:rsidR="004855BC">
        <w:rPr>
          <w:rFonts w:asciiTheme="minorHAnsi" w:hAnsiTheme="minorHAnsi" w:cstheme="minorHAnsi"/>
          <w:color w:val="000000" w:themeColor="text1"/>
        </w:rPr>
        <w:t xml:space="preserve">potential </w:t>
      </w:r>
      <w:r w:rsidR="009429F1" w:rsidRPr="005E7DD1">
        <w:rPr>
          <w:rFonts w:asciiTheme="minorHAnsi" w:hAnsiTheme="minorHAnsi" w:cstheme="minorHAnsi"/>
          <w:color w:val="000000" w:themeColor="text1"/>
        </w:rPr>
        <w:t xml:space="preserve">medicinal </w:t>
      </w:r>
      <w:r w:rsidR="00311D00">
        <w:rPr>
          <w:rFonts w:asciiTheme="minorHAnsi" w:hAnsiTheme="minorHAnsi" w:cstheme="minorHAnsi"/>
          <w:color w:val="000000" w:themeColor="text1"/>
        </w:rPr>
        <w:t>use</w:t>
      </w:r>
      <w:r w:rsidR="004855BC" w:rsidRPr="005E7DD1">
        <w:rPr>
          <w:rFonts w:asciiTheme="minorHAnsi" w:hAnsiTheme="minorHAnsi" w:cstheme="minorHAnsi"/>
          <w:color w:val="000000" w:themeColor="text1"/>
        </w:rPr>
        <w:t xml:space="preserve"> </w:t>
      </w:r>
      <w:r w:rsidR="009429F1" w:rsidRPr="005E7DD1">
        <w:rPr>
          <w:rFonts w:asciiTheme="minorHAnsi" w:hAnsiTheme="minorHAnsi" w:cstheme="minorHAnsi"/>
          <w:color w:val="000000" w:themeColor="text1"/>
        </w:rPr>
        <w:t>of cannabis products</w:t>
      </w:r>
      <w:r w:rsidR="006C46DE">
        <w:rPr>
          <w:rFonts w:asciiTheme="minorHAnsi" w:hAnsiTheme="minorHAnsi" w:cstheme="minorHAnsi"/>
          <w:color w:val="000000" w:themeColor="text1"/>
        </w:rPr>
        <w:t>, although it was widely employed in the past</w:t>
      </w:r>
      <w:r w:rsidR="009429F1" w:rsidRPr="005E7DD1">
        <w:rPr>
          <w:rFonts w:asciiTheme="minorHAnsi" w:hAnsiTheme="minorHAnsi" w:cstheme="minorHAnsi"/>
          <w:color w:val="000000" w:themeColor="text1"/>
        </w:rPr>
        <w:t>.</w:t>
      </w:r>
      <w:r w:rsidR="007A6306">
        <w:rPr>
          <w:rFonts w:asciiTheme="minorHAnsi" w:hAnsiTheme="minorHAnsi" w:cstheme="minorHAnsi"/>
          <w:color w:val="000000" w:themeColor="text1"/>
        </w:rPr>
        <w:t xml:space="preserve"> </w:t>
      </w:r>
      <w:r w:rsidR="00E56061">
        <w:rPr>
          <w:rFonts w:asciiTheme="minorHAnsi" w:hAnsiTheme="minorHAnsi" w:cstheme="minorHAnsi"/>
          <w:color w:val="000000" w:themeColor="text1"/>
        </w:rPr>
        <w:t>Cannabis has a</w:t>
      </w:r>
      <w:r w:rsidR="00E56061" w:rsidRPr="005E7DD1">
        <w:rPr>
          <w:rFonts w:asciiTheme="minorHAnsi" w:hAnsiTheme="minorHAnsi" w:cstheme="minorHAnsi"/>
          <w:color w:val="000000" w:themeColor="text1"/>
        </w:rPr>
        <w:t xml:space="preserve"> </w:t>
      </w:r>
      <w:r w:rsidR="009429F1" w:rsidRPr="005E7DD1">
        <w:rPr>
          <w:rFonts w:asciiTheme="minorHAnsi" w:hAnsiTheme="minorHAnsi" w:cstheme="minorHAnsi"/>
          <w:color w:val="000000" w:themeColor="text1"/>
        </w:rPr>
        <w:t xml:space="preserve">very limited </w:t>
      </w:r>
      <w:r w:rsidR="00E56061">
        <w:rPr>
          <w:rFonts w:asciiTheme="minorHAnsi" w:hAnsiTheme="minorHAnsi" w:cstheme="minorHAnsi"/>
          <w:color w:val="000000" w:themeColor="text1"/>
        </w:rPr>
        <w:t xml:space="preserve">proven </w:t>
      </w:r>
      <w:r w:rsidR="009429F1" w:rsidRPr="005E7DD1">
        <w:rPr>
          <w:rFonts w:asciiTheme="minorHAnsi" w:hAnsiTheme="minorHAnsi" w:cstheme="minorHAnsi"/>
          <w:color w:val="000000" w:themeColor="text1"/>
        </w:rPr>
        <w:t>therapeutic uses</w:t>
      </w:r>
      <w:r w:rsidR="006C46DE">
        <w:rPr>
          <w:rFonts w:asciiTheme="minorHAnsi" w:hAnsiTheme="minorHAnsi" w:cstheme="minorHAnsi"/>
          <w:color w:val="000000" w:themeColor="text1"/>
        </w:rPr>
        <w:t>,</w:t>
      </w:r>
      <w:r w:rsidR="00E56061">
        <w:rPr>
          <w:rFonts w:asciiTheme="minorHAnsi" w:hAnsiTheme="minorHAnsi" w:cstheme="minorHAnsi"/>
          <w:color w:val="000000" w:themeColor="text1"/>
        </w:rPr>
        <w:t xml:space="preserve"> although more are likely to emerge.</w:t>
      </w:r>
      <w:r w:rsidR="003B6C8F">
        <w:rPr>
          <w:rFonts w:asciiTheme="minorHAnsi" w:hAnsiTheme="minorHAnsi" w:cstheme="minorHAnsi"/>
          <w:color w:val="000000" w:themeColor="text1"/>
        </w:rPr>
        <w:t xml:space="preserve"> </w:t>
      </w:r>
      <w:r w:rsidR="00E56061">
        <w:rPr>
          <w:rFonts w:asciiTheme="minorHAnsi" w:hAnsiTheme="minorHAnsi" w:cstheme="minorHAnsi"/>
          <w:color w:val="000000" w:themeColor="text1"/>
        </w:rPr>
        <w:t>M</w:t>
      </w:r>
      <w:r w:rsidR="009429F1" w:rsidRPr="005E7DD1">
        <w:rPr>
          <w:rFonts w:asciiTheme="minorHAnsi" w:hAnsiTheme="minorHAnsi" w:cstheme="minorHAnsi"/>
          <w:color w:val="000000" w:themeColor="text1"/>
        </w:rPr>
        <w:t xml:space="preserve">edicinal cannabis uses should be guided by the medical knowledge of the prescribing physician or </w:t>
      </w:r>
      <w:r w:rsidR="006C46DE">
        <w:rPr>
          <w:rFonts w:asciiTheme="minorHAnsi" w:hAnsiTheme="minorHAnsi" w:cstheme="minorHAnsi"/>
          <w:color w:val="000000" w:themeColor="text1"/>
        </w:rPr>
        <w:t xml:space="preserve">health </w:t>
      </w:r>
      <w:r w:rsidR="009429F1" w:rsidRPr="005E7DD1">
        <w:rPr>
          <w:rFonts w:asciiTheme="minorHAnsi" w:hAnsiTheme="minorHAnsi" w:cstheme="minorHAnsi"/>
          <w:color w:val="000000" w:themeColor="text1"/>
        </w:rPr>
        <w:t xml:space="preserve">professional based on science. </w:t>
      </w:r>
      <w:r w:rsidRPr="005E7DD1">
        <w:rPr>
          <w:rFonts w:asciiTheme="minorHAnsi" w:hAnsiTheme="minorHAnsi" w:cstheme="minorHAnsi"/>
          <w:color w:val="000000" w:themeColor="text1"/>
        </w:rPr>
        <w:t>While adult</w:t>
      </w:r>
      <w:r w:rsidR="009429F1" w:rsidRPr="005E7DD1">
        <w:rPr>
          <w:rFonts w:asciiTheme="minorHAnsi" w:hAnsiTheme="minorHAnsi" w:cstheme="minorHAnsi"/>
          <w:color w:val="000000" w:themeColor="text1"/>
        </w:rPr>
        <w:t>-use cannabis should not be marketed as therapeutic</w:t>
      </w:r>
      <w:r w:rsidRPr="005E7DD1">
        <w:rPr>
          <w:rFonts w:asciiTheme="minorHAnsi" w:hAnsiTheme="minorHAnsi" w:cstheme="minorHAnsi"/>
          <w:color w:val="000000" w:themeColor="text1"/>
        </w:rPr>
        <w:t xml:space="preserve">, </w:t>
      </w:r>
      <w:r w:rsidR="00E56061">
        <w:rPr>
          <w:rFonts w:asciiTheme="minorHAnsi" w:hAnsiTheme="minorHAnsi" w:cstheme="minorHAnsi"/>
          <w:color w:val="000000" w:themeColor="text1"/>
        </w:rPr>
        <w:t xml:space="preserve">our research in California dispensaries has identified </w:t>
      </w:r>
      <w:r w:rsidR="006C46DE">
        <w:rPr>
          <w:rFonts w:asciiTheme="minorHAnsi" w:hAnsiTheme="minorHAnsi" w:cstheme="minorHAnsi"/>
          <w:color w:val="000000" w:themeColor="text1"/>
        </w:rPr>
        <w:t>widespread deceptive</w:t>
      </w:r>
      <w:r w:rsidR="00F94D7B">
        <w:rPr>
          <w:rFonts w:asciiTheme="minorHAnsi" w:hAnsiTheme="minorHAnsi" w:cstheme="minorHAnsi"/>
          <w:color w:val="000000" w:themeColor="text1"/>
        </w:rPr>
        <w:t xml:space="preserve"> </w:t>
      </w:r>
      <w:r w:rsidR="009429F1" w:rsidRPr="005E7DD1">
        <w:rPr>
          <w:rFonts w:asciiTheme="minorHAnsi" w:hAnsiTheme="minorHAnsi" w:cstheme="minorHAnsi"/>
          <w:color w:val="000000" w:themeColor="text1"/>
        </w:rPr>
        <w:t>marketing of cannabis</w:t>
      </w:r>
      <w:r w:rsidR="003360B5">
        <w:rPr>
          <w:rFonts w:asciiTheme="minorHAnsi" w:hAnsiTheme="minorHAnsi" w:cstheme="minorHAnsi"/>
          <w:color w:val="000000" w:themeColor="text1"/>
        </w:rPr>
        <w:t xml:space="preserve"> for both </w:t>
      </w:r>
      <w:r w:rsidR="006C46DE">
        <w:rPr>
          <w:rFonts w:asciiTheme="minorHAnsi" w:hAnsiTheme="minorHAnsi" w:cstheme="minorHAnsi"/>
          <w:color w:val="000000" w:themeColor="text1"/>
        </w:rPr>
        <w:t>medicinal and adult-use</w:t>
      </w:r>
      <w:r w:rsidR="009429F1" w:rsidRPr="005E7DD1">
        <w:rPr>
          <w:rFonts w:asciiTheme="minorHAnsi" w:hAnsiTheme="minorHAnsi" w:cstheme="minorHAnsi"/>
          <w:color w:val="000000" w:themeColor="text1"/>
        </w:rPr>
        <w:t xml:space="preserve"> as wellness product</w:t>
      </w:r>
      <w:r w:rsidR="003360B5">
        <w:rPr>
          <w:rFonts w:asciiTheme="minorHAnsi" w:hAnsiTheme="minorHAnsi" w:cstheme="minorHAnsi"/>
          <w:color w:val="000000" w:themeColor="text1"/>
        </w:rPr>
        <w:t>s</w:t>
      </w:r>
      <w:r w:rsidR="009429F1" w:rsidRPr="005E7DD1">
        <w:rPr>
          <w:rFonts w:asciiTheme="minorHAnsi" w:hAnsiTheme="minorHAnsi" w:cstheme="minorHAnsi"/>
          <w:color w:val="000000" w:themeColor="text1"/>
        </w:rPr>
        <w:t xml:space="preserve"> intended to cure a </w:t>
      </w:r>
      <w:r w:rsidR="00E56061">
        <w:rPr>
          <w:rFonts w:asciiTheme="minorHAnsi" w:hAnsiTheme="minorHAnsi" w:cstheme="minorHAnsi"/>
          <w:color w:val="000000" w:themeColor="text1"/>
        </w:rPr>
        <w:t xml:space="preserve">vast </w:t>
      </w:r>
      <w:r w:rsidR="009429F1" w:rsidRPr="005E7DD1">
        <w:rPr>
          <w:rFonts w:asciiTheme="minorHAnsi" w:hAnsiTheme="minorHAnsi" w:cstheme="minorHAnsi"/>
          <w:color w:val="000000" w:themeColor="text1"/>
        </w:rPr>
        <w:t xml:space="preserve">variety of problems from </w:t>
      </w:r>
      <w:r w:rsidR="00E56061">
        <w:rPr>
          <w:rFonts w:asciiTheme="minorHAnsi" w:hAnsiTheme="minorHAnsi" w:cstheme="minorHAnsi"/>
          <w:color w:val="000000" w:themeColor="text1"/>
        </w:rPr>
        <w:t xml:space="preserve">severe </w:t>
      </w:r>
      <w:r w:rsidR="009429F1" w:rsidRPr="005E7DD1">
        <w:rPr>
          <w:rFonts w:asciiTheme="minorHAnsi" w:hAnsiTheme="minorHAnsi" w:cstheme="minorHAnsi"/>
          <w:color w:val="000000" w:themeColor="text1"/>
        </w:rPr>
        <w:t xml:space="preserve">mental health issues to cancer. These types of claims are not based on peer-reviewed evidence and should not be allowed. </w:t>
      </w:r>
      <w:r w:rsidR="00E56061">
        <w:rPr>
          <w:rFonts w:asciiTheme="minorHAnsi" w:hAnsiTheme="minorHAnsi" w:cstheme="minorHAnsi"/>
          <w:color w:val="000000" w:themeColor="text1"/>
        </w:rPr>
        <w:t xml:space="preserve">The state, and </w:t>
      </w:r>
      <w:proofErr w:type="spellStart"/>
      <w:r w:rsidR="00E56061">
        <w:rPr>
          <w:rFonts w:asciiTheme="minorHAnsi" w:hAnsiTheme="minorHAnsi" w:cstheme="minorHAnsi"/>
          <w:color w:val="000000" w:themeColor="text1"/>
        </w:rPr>
        <w:t>evn</w:t>
      </w:r>
      <w:proofErr w:type="spellEnd"/>
      <w:r w:rsidR="00E56061">
        <w:rPr>
          <w:rFonts w:asciiTheme="minorHAnsi" w:hAnsiTheme="minorHAnsi" w:cstheme="minorHAnsi"/>
          <w:color w:val="000000" w:themeColor="text1"/>
        </w:rPr>
        <w:t xml:space="preserve"> more so, local government</w:t>
      </w:r>
      <w:proofErr w:type="gramStart"/>
      <w:r w:rsidR="00E56061">
        <w:rPr>
          <w:rFonts w:asciiTheme="minorHAnsi" w:hAnsiTheme="minorHAnsi" w:cstheme="minorHAnsi"/>
          <w:color w:val="000000" w:themeColor="text1"/>
        </w:rPr>
        <w:t>, .lacks</w:t>
      </w:r>
      <w:proofErr w:type="gramEnd"/>
      <w:r w:rsidR="003B6C8F">
        <w:rPr>
          <w:rFonts w:asciiTheme="minorHAnsi" w:hAnsiTheme="minorHAnsi" w:cstheme="minorHAnsi"/>
          <w:color w:val="000000" w:themeColor="text1"/>
        </w:rPr>
        <w:t xml:space="preserve"> </w:t>
      </w:r>
      <w:r w:rsidR="00E56061">
        <w:rPr>
          <w:rFonts w:asciiTheme="minorHAnsi" w:hAnsiTheme="minorHAnsi" w:cstheme="minorHAnsi"/>
          <w:color w:val="000000" w:themeColor="text1"/>
        </w:rPr>
        <w:t>the</w:t>
      </w:r>
      <w:r w:rsidR="003B6C8F">
        <w:rPr>
          <w:rFonts w:asciiTheme="minorHAnsi" w:hAnsiTheme="minorHAnsi" w:cstheme="minorHAnsi"/>
          <w:color w:val="000000" w:themeColor="text1"/>
        </w:rPr>
        <w:t xml:space="preserve"> </w:t>
      </w:r>
      <w:r w:rsidR="006C46DE">
        <w:rPr>
          <w:rFonts w:asciiTheme="minorHAnsi" w:hAnsiTheme="minorHAnsi" w:cstheme="minorHAnsi"/>
          <w:color w:val="000000" w:themeColor="text1"/>
        </w:rPr>
        <w:t xml:space="preserve">scientific structures </w:t>
      </w:r>
      <w:r w:rsidR="00E56061">
        <w:rPr>
          <w:rFonts w:asciiTheme="minorHAnsi" w:hAnsiTheme="minorHAnsi" w:cstheme="minorHAnsi"/>
          <w:color w:val="000000" w:themeColor="text1"/>
        </w:rPr>
        <w:t xml:space="preserve">such as those at the FDA, </w:t>
      </w:r>
      <w:r w:rsidR="006C46DE">
        <w:rPr>
          <w:rFonts w:asciiTheme="minorHAnsi" w:hAnsiTheme="minorHAnsi" w:cstheme="minorHAnsi"/>
          <w:color w:val="000000" w:themeColor="text1"/>
        </w:rPr>
        <w:t xml:space="preserve">to evaluate whether any </w:t>
      </w:r>
      <w:r w:rsidR="00E56061">
        <w:rPr>
          <w:rFonts w:asciiTheme="minorHAnsi" w:hAnsiTheme="minorHAnsi" w:cstheme="minorHAnsi"/>
          <w:color w:val="000000" w:themeColor="text1"/>
        </w:rPr>
        <w:t xml:space="preserve">health </w:t>
      </w:r>
      <w:r w:rsidR="006C46DE">
        <w:rPr>
          <w:rFonts w:asciiTheme="minorHAnsi" w:hAnsiTheme="minorHAnsi" w:cstheme="minorHAnsi"/>
          <w:color w:val="000000" w:themeColor="text1"/>
        </w:rPr>
        <w:t xml:space="preserve">claims are evidence-based or deceptive. </w:t>
      </w:r>
      <w:r w:rsidR="009429F1" w:rsidRPr="005E7DD1">
        <w:rPr>
          <w:rFonts w:asciiTheme="minorHAnsi" w:hAnsiTheme="minorHAnsi" w:cstheme="minorHAnsi"/>
          <w:color w:val="000000" w:themeColor="text1"/>
        </w:rPr>
        <w:t>Just as such statements are not present on alcohol products or cigarettes, they should not be permitted on cannabis products.</w:t>
      </w:r>
      <w:r w:rsidR="00F94D7B">
        <w:rPr>
          <w:rFonts w:asciiTheme="minorHAnsi" w:hAnsiTheme="minorHAnsi" w:cstheme="minorHAnsi"/>
          <w:color w:val="000000" w:themeColor="text1"/>
        </w:rPr>
        <w:t xml:space="preserve"> </w:t>
      </w:r>
      <w:r w:rsidR="009429F1" w:rsidRPr="005E7DD1">
        <w:rPr>
          <w:rFonts w:asciiTheme="minorHAnsi" w:hAnsiTheme="minorHAnsi" w:cstheme="minorHAnsi"/>
          <w:color w:val="000000" w:themeColor="text1"/>
        </w:rPr>
        <w:t xml:space="preserve">While the state cannabis advisory commission has agreed that health and therapeutic claims should not be </w:t>
      </w:r>
      <w:r w:rsidR="006C46DE">
        <w:rPr>
          <w:rFonts w:asciiTheme="minorHAnsi" w:hAnsiTheme="minorHAnsi" w:cstheme="minorHAnsi"/>
          <w:color w:val="000000" w:themeColor="text1"/>
        </w:rPr>
        <w:t>allowed</w:t>
      </w:r>
      <w:r w:rsidR="00F94D7B">
        <w:rPr>
          <w:rFonts w:asciiTheme="minorHAnsi" w:hAnsiTheme="minorHAnsi" w:cstheme="minorHAnsi"/>
          <w:color w:val="000000" w:themeColor="text1"/>
        </w:rPr>
        <w:t xml:space="preserve"> </w:t>
      </w:r>
      <w:r w:rsidR="009429F1" w:rsidRPr="005E7DD1">
        <w:rPr>
          <w:rFonts w:asciiTheme="minorHAnsi" w:hAnsiTheme="minorHAnsi" w:cstheme="minorHAnsi"/>
          <w:color w:val="000000" w:themeColor="text1"/>
        </w:rPr>
        <w:t xml:space="preserve">in </w:t>
      </w:r>
      <w:r w:rsidR="006C46DE">
        <w:rPr>
          <w:rFonts w:asciiTheme="minorHAnsi" w:hAnsiTheme="minorHAnsi" w:cstheme="minorHAnsi"/>
          <w:color w:val="000000" w:themeColor="text1"/>
        </w:rPr>
        <w:t xml:space="preserve">adult-use </w:t>
      </w:r>
      <w:r w:rsidR="009429F1" w:rsidRPr="005E7DD1">
        <w:rPr>
          <w:rFonts w:asciiTheme="minorHAnsi" w:hAnsiTheme="minorHAnsi" w:cstheme="minorHAnsi"/>
          <w:color w:val="000000" w:themeColor="text1"/>
        </w:rPr>
        <w:t>cannabis marketing,</w:t>
      </w:r>
      <w:r w:rsidRPr="005E7DD1">
        <w:rPr>
          <w:rStyle w:val="FootnoteReference"/>
          <w:rFonts w:asciiTheme="minorHAnsi" w:hAnsiTheme="minorHAnsi" w:cstheme="minorHAnsi"/>
          <w:color w:val="000000" w:themeColor="text1"/>
        </w:rPr>
        <w:footnoteReference w:id="72"/>
      </w:r>
      <w:r w:rsidR="009429F1" w:rsidRPr="005E7DD1">
        <w:rPr>
          <w:rFonts w:asciiTheme="minorHAnsi" w:hAnsiTheme="minorHAnsi" w:cstheme="minorHAnsi"/>
          <w:color w:val="000000" w:themeColor="text1"/>
        </w:rPr>
        <w:t xml:space="preserve"> th</w:t>
      </w:r>
      <w:r w:rsidR="006C46DE">
        <w:rPr>
          <w:rFonts w:asciiTheme="minorHAnsi" w:hAnsiTheme="minorHAnsi" w:cstheme="minorHAnsi"/>
          <w:color w:val="000000" w:themeColor="text1"/>
        </w:rPr>
        <w:t>is recommendation has not yet been adopted by the state.</w:t>
      </w:r>
      <w:r w:rsidR="007A6306">
        <w:rPr>
          <w:rFonts w:asciiTheme="minorHAnsi" w:hAnsiTheme="minorHAnsi" w:cstheme="minorHAnsi"/>
          <w:color w:val="000000" w:themeColor="text1"/>
        </w:rPr>
        <w:t xml:space="preserve"> </w:t>
      </w:r>
      <w:r w:rsidR="009429F1" w:rsidRPr="005E7DD1">
        <w:rPr>
          <w:rFonts w:asciiTheme="minorHAnsi" w:hAnsiTheme="minorHAnsi" w:cstheme="minorHAnsi"/>
          <w:color w:val="000000" w:themeColor="text1"/>
        </w:rPr>
        <w:t>If a local jurisdiction enacts restrictions or bans on therapeutic or health claims</w:t>
      </w:r>
      <w:r w:rsidR="00E77E0B" w:rsidRPr="005E7DD1">
        <w:rPr>
          <w:rFonts w:asciiTheme="minorHAnsi" w:hAnsiTheme="minorHAnsi" w:cstheme="minorHAnsi"/>
          <w:color w:val="000000" w:themeColor="text1"/>
        </w:rPr>
        <w:t xml:space="preserve"> beyond state law</w:t>
      </w:r>
      <w:r w:rsidR="009429F1" w:rsidRPr="005E7DD1">
        <w:rPr>
          <w:rFonts w:asciiTheme="minorHAnsi" w:hAnsiTheme="minorHAnsi" w:cstheme="minorHAnsi"/>
          <w:color w:val="000000" w:themeColor="text1"/>
        </w:rPr>
        <w:t xml:space="preserve">, they are awarded three points. </w:t>
      </w:r>
    </w:p>
    <w:p w14:paraId="1FBFA873" w14:textId="77777777" w:rsidR="009429F1" w:rsidRPr="005E7DD1" w:rsidRDefault="009429F1" w:rsidP="009429F1">
      <w:pPr>
        <w:autoSpaceDE w:val="0"/>
        <w:autoSpaceDN w:val="0"/>
        <w:adjustRightInd w:val="0"/>
        <w:rPr>
          <w:rFonts w:asciiTheme="minorHAnsi" w:hAnsiTheme="minorHAnsi" w:cstheme="minorHAnsi"/>
        </w:rPr>
      </w:pPr>
    </w:p>
    <w:p w14:paraId="16ADFC34" w14:textId="5BCCF832" w:rsidR="009429F1" w:rsidRPr="005E7DD1" w:rsidRDefault="009429F1" w:rsidP="009429F1">
      <w:pPr>
        <w:autoSpaceDE w:val="0"/>
        <w:autoSpaceDN w:val="0"/>
        <w:adjustRightInd w:val="0"/>
        <w:rPr>
          <w:rFonts w:asciiTheme="minorHAnsi" w:hAnsiTheme="minorHAnsi" w:cstheme="minorHAnsi"/>
          <w:b/>
          <w:color w:val="4472C4" w:themeColor="accent1"/>
        </w:rPr>
      </w:pPr>
      <w:r w:rsidRPr="005E7DD1">
        <w:rPr>
          <w:rFonts w:asciiTheme="minorHAnsi" w:hAnsiTheme="minorHAnsi" w:cstheme="minorHAnsi"/>
          <w:b/>
          <w:color w:val="4472C4" w:themeColor="accent1"/>
        </w:rPr>
        <w:t>Other advertising restriction (ex: business signage) (3 points)</w:t>
      </w:r>
    </w:p>
    <w:p w14:paraId="615A8D13" w14:textId="5AE6FC04" w:rsidR="00AF4F78" w:rsidRPr="005E7DD1" w:rsidRDefault="00AF4F78" w:rsidP="00E74F6A">
      <w:pPr>
        <w:autoSpaceDE w:val="0"/>
        <w:autoSpaceDN w:val="0"/>
        <w:adjustRightInd w:val="0"/>
        <w:jc w:val="both"/>
        <w:rPr>
          <w:rFonts w:asciiTheme="minorHAnsi" w:hAnsiTheme="minorHAnsi" w:cstheme="minorHAnsi"/>
          <w:color w:val="000000" w:themeColor="text1"/>
        </w:rPr>
      </w:pPr>
      <w:r w:rsidRPr="005E7DD1">
        <w:rPr>
          <w:rFonts w:asciiTheme="minorHAnsi" w:hAnsiTheme="minorHAnsi" w:cstheme="minorHAnsi"/>
          <w:b/>
          <w:color w:val="000000" w:themeColor="text1"/>
        </w:rPr>
        <w:t>Description:</w:t>
      </w:r>
      <w:r w:rsidR="00E77E0B" w:rsidRPr="005E7DD1">
        <w:rPr>
          <w:rFonts w:asciiTheme="minorHAnsi" w:hAnsiTheme="minorHAnsi" w:cstheme="minorHAnsi"/>
          <w:b/>
          <w:color w:val="000000" w:themeColor="text1"/>
        </w:rPr>
        <w:t xml:space="preserve"> </w:t>
      </w:r>
      <w:r w:rsidR="00E77E0B" w:rsidRPr="005E7DD1">
        <w:rPr>
          <w:rFonts w:asciiTheme="minorHAnsi" w:hAnsiTheme="minorHAnsi" w:cstheme="minorHAnsi"/>
          <w:color w:val="000000" w:themeColor="text1"/>
        </w:rPr>
        <w:t>Restrictions on business advertising such as, but not limited to, prohibitions on street-side arrows or persons holding signs or large wall advertisements.</w:t>
      </w:r>
    </w:p>
    <w:p w14:paraId="6A5F1E89" w14:textId="77777777" w:rsidR="00E77E0B" w:rsidRPr="005E7DD1" w:rsidRDefault="00E77E0B" w:rsidP="00E74F6A">
      <w:pPr>
        <w:autoSpaceDE w:val="0"/>
        <w:autoSpaceDN w:val="0"/>
        <w:adjustRightInd w:val="0"/>
        <w:jc w:val="both"/>
        <w:rPr>
          <w:rFonts w:asciiTheme="minorHAnsi" w:hAnsiTheme="minorHAnsi" w:cstheme="minorHAnsi"/>
          <w:color w:val="000000" w:themeColor="text1"/>
        </w:rPr>
      </w:pPr>
    </w:p>
    <w:p w14:paraId="10AEDC82" w14:textId="0451C4C9" w:rsidR="00AF4F78" w:rsidRPr="005E7DD1" w:rsidRDefault="00AF4F78" w:rsidP="00E74F6A">
      <w:pPr>
        <w:autoSpaceDE w:val="0"/>
        <w:autoSpaceDN w:val="0"/>
        <w:adjustRightInd w:val="0"/>
        <w:jc w:val="both"/>
        <w:rPr>
          <w:rFonts w:asciiTheme="minorHAnsi" w:hAnsiTheme="minorHAnsi" w:cstheme="minorHAnsi"/>
          <w:color w:val="000000" w:themeColor="text1"/>
        </w:rPr>
      </w:pPr>
      <w:r w:rsidRPr="005E7DD1">
        <w:rPr>
          <w:rFonts w:asciiTheme="minorHAnsi" w:hAnsiTheme="minorHAnsi" w:cstheme="minorHAnsi"/>
          <w:b/>
          <w:color w:val="000000" w:themeColor="text1"/>
        </w:rPr>
        <w:t>State Law:</w:t>
      </w:r>
      <w:r w:rsidR="00E77E0B" w:rsidRPr="005E7DD1">
        <w:rPr>
          <w:rFonts w:asciiTheme="minorHAnsi" w:hAnsiTheme="minorHAnsi" w:cstheme="minorHAnsi"/>
          <w:b/>
          <w:color w:val="000000" w:themeColor="text1"/>
        </w:rPr>
        <w:t xml:space="preserve"> </w:t>
      </w:r>
      <w:r w:rsidR="003360B5">
        <w:rPr>
          <w:rFonts w:asciiTheme="minorHAnsi" w:hAnsiTheme="minorHAnsi" w:cstheme="minorHAnsi"/>
          <w:color w:val="000000" w:themeColor="text1"/>
        </w:rPr>
        <w:t>Bureau of Cannabis Control regulations states that “any advertising or marketing…</w:t>
      </w:r>
      <w:r w:rsidR="003360B5" w:rsidRPr="003360B5">
        <w:rPr>
          <w:rFonts w:asciiTheme="minorHAnsi" w:hAnsiTheme="minorHAnsi" w:cstheme="minorHAnsi"/>
          <w:color w:val="000000" w:themeColor="text1"/>
        </w:rPr>
        <w:t xml:space="preserve"> that is placed in broadcast, cable, radio, print, and digital communications: (4) Shall not advertise free cannabis goods or giveaways of any type of products, including non- cannabis products.</w:t>
      </w:r>
      <w:r w:rsidR="003360B5">
        <w:rPr>
          <w:rFonts w:asciiTheme="minorHAnsi" w:hAnsiTheme="minorHAnsi" w:cstheme="minorHAnsi"/>
          <w:color w:val="000000" w:themeColor="text1"/>
        </w:rPr>
        <w:t>”</w:t>
      </w:r>
      <w:r w:rsidR="003360B5">
        <w:rPr>
          <w:rStyle w:val="FootnoteReference"/>
          <w:rFonts w:asciiTheme="minorHAnsi" w:hAnsiTheme="minorHAnsi" w:cstheme="minorHAnsi"/>
          <w:color w:val="000000" w:themeColor="text1"/>
        </w:rPr>
        <w:footnoteReference w:id="73"/>
      </w:r>
      <w:r w:rsidR="003360B5">
        <w:rPr>
          <w:rFonts w:asciiTheme="minorHAnsi" w:hAnsiTheme="minorHAnsi" w:cstheme="minorHAnsi"/>
          <w:color w:val="000000" w:themeColor="text1"/>
        </w:rPr>
        <w:t xml:space="preserve"> </w:t>
      </w:r>
      <w:r w:rsidR="00E56061">
        <w:rPr>
          <w:rFonts w:asciiTheme="minorHAnsi" w:hAnsiTheme="minorHAnsi" w:cstheme="minorHAnsi"/>
          <w:bCs/>
          <w:color w:val="000000" w:themeColor="text1"/>
        </w:rPr>
        <w:t xml:space="preserve">There are no </w:t>
      </w:r>
      <w:r w:rsidR="00677090">
        <w:rPr>
          <w:rFonts w:asciiTheme="minorHAnsi" w:hAnsiTheme="minorHAnsi" w:cstheme="minorHAnsi"/>
          <w:bCs/>
          <w:color w:val="000000" w:themeColor="text1"/>
        </w:rPr>
        <w:t xml:space="preserve">state limitations on business signage, though the </w:t>
      </w:r>
      <w:r w:rsidR="00677090">
        <w:rPr>
          <w:rFonts w:asciiTheme="minorHAnsi" w:hAnsiTheme="minorHAnsi" w:cstheme="minorHAnsi"/>
          <w:color w:val="000000" w:themeColor="text1"/>
        </w:rPr>
        <w:t>s</w:t>
      </w:r>
      <w:r w:rsidR="003360B5">
        <w:rPr>
          <w:rFonts w:asciiTheme="minorHAnsi" w:hAnsiTheme="minorHAnsi" w:cstheme="minorHAnsi"/>
          <w:color w:val="000000" w:themeColor="text1"/>
        </w:rPr>
        <w:t>tate law p</w:t>
      </w:r>
      <w:r w:rsidR="003360B5" w:rsidRPr="005E7DD1">
        <w:rPr>
          <w:rFonts w:asciiTheme="minorHAnsi" w:hAnsiTheme="minorHAnsi" w:cstheme="minorHAnsi"/>
          <w:color w:val="000000" w:themeColor="text1"/>
        </w:rPr>
        <w:t>rohibits delivery vehicles from having indications or markings on the vehicle indicating that it is transporting cannabis for delivery.</w:t>
      </w:r>
      <w:r w:rsidR="003B6C8F">
        <w:rPr>
          <w:rFonts w:asciiTheme="minorHAnsi" w:hAnsiTheme="minorHAnsi" w:cstheme="minorHAnsi"/>
          <w:color w:val="000000" w:themeColor="text1"/>
        </w:rPr>
        <w:t xml:space="preserve"> </w:t>
      </w:r>
      <w:r w:rsidR="00677090">
        <w:rPr>
          <w:rFonts w:asciiTheme="minorHAnsi" w:hAnsiTheme="minorHAnsi" w:cstheme="minorHAnsi"/>
          <w:color w:val="000000" w:themeColor="text1"/>
        </w:rPr>
        <w:t>Score: 0.</w:t>
      </w:r>
    </w:p>
    <w:p w14:paraId="5DFAF55A" w14:textId="77777777" w:rsidR="00E77E0B" w:rsidRPr="005E7DD1" w:rsidRDefault="00E77E0B" w:rsidP="00E74F6A">
      <w:pPr>
        <w:autoSpaceDE w:val="0"/>
        <w:autoSpaceDN w:val="0"/>
        <w:adjustRightInd w:val="0"/>
        <w:jc w:val="both"/>
        <w:rPr>
          <w:rFonts w:asciiTheme="minorHAnsi" w:hAnsiTheme="minorHAnsi" w:cstheme="minorHAnsi"/>
          <w:color w:val="000000" w:themeColor="text1"/>
        </w:rPr>
      </w:pPr>
    </w:p>
    <w:p w14:paraId="5155A287" w14:textId="20CA02B1" w:rsidR="00AF4F78" w:rsidRPr="005E7DD1" w:rsidRDefault="00AF4F78" w:rsidP="00E74F6A">
      <w:pPr>
        <w:autoSpaceDE w:val="0"/>
        <w:autoSpaceDN w:val="0"/>
        <w:adjustRightInd w:val="0"/>
        <w:jc w:val="both"/>
        <w:rPr>
          <w:rFonts w:asciiTheme="minorHAnsi" w:hAnsiTheme="minorHAnsi" w:cstheme="minorHAnsi"/>
          <w:color w:val="000000" w:themeColor="text1"/>
        </w:rPr>
      </w:pPr>
      <w:r w:rsidRPr="005E7DD1">
        <w:rPr>
          <w:rFonts w:asciiTheme="minorHAnsi" w:hAnsiTheme="minorHAnsi" w:cstheme="minorHAnsi"/>
          <w:b/>
          <w:color w:val="000000" w:themeColor="text1"/>
        </w:rPr>
        <w:lastRenderedPageBreak/>
        <w:t>Rationale</w:t>
      </w:r>
      <w:r w:rsidR="00C21A9A">
        <w:rPr>
          <w:rFonts w:asciiTheme="minorHAnsi" w:hAnsiTheme="minorHAnsi" w:cstheme="minorHAnsi"/>
          <w:b/>
          <w:color w:val="000000" w:themeColor="text1"/>
        </w:rPr>
        <w:t xml:space="preserve"> &amp; Points</w:t>
      </w:r>
      <w:r w:rsidRPr="005E7DD1">
        <w:rPr>
          <w:rFonts w:asciiTheme="minorHAnsi" w:hAnsiTheme="minorHAnsi" w:cstheme="minorHAnsi"/>
          <w:b/>
          <w:color w:val="000000" w:themeColor="text1"/>
        </w:rPr>
        <w:t xml:space="preserve">: </w:t>
      </w:r>
      <w:r w:rsidR="007318F2" w:rsidRPr="000E3713">
        <w:rPr>
          <w:rFonts w:asciiTheme="minorHAnsi" w:hAnsiTheme="minorHAnsi" w:cstheme="minorHAnsi"/>
          <w:bCs/>
        </w:rPr>
        <w:t>It has been well</w:t>
      </w:r>
      <w:r w:rsidR="007318F2">
        <w:rPr>
          <w:rFonts w:asciiTheme="minorHAnsi" w:hAnsiTheme="minorHAnsi" w:cstheme="minorHAnsi"/>
          <w:b/>
        </w:rPr>
        <w:t xml:space="preserve"> </w:t>
      </w:r>
      <w:r w:rsidR="007318F2">
        <w:rPr>
          <w:rFonts w:asciiTheme="minorHAnsi" w:hAnsiTheme="minorHAnsi" w:cstheme="minorHAnsi"/>
          <w:bCs/>
        </w:rPr>
        <w:t>documented that youth exposure to advertising increases youth interest in, use, and positive perceptions of product use.</w:t>
      </w:r>
      <w:r w:rsidR="007318F2">
        <w:rPr>
          <w:rStyle w:val="FootnoteReference"/>
          <w:rFonts w:asciiTheme="minorHAnsi" w:hAnsiTheme="minorHAnsi" w:cstheme="minorHAnsi"/>
          <w:bCs/>
        </w:rPr>
        <w:footnoteReference w:id="74"/>
      </w:r>
      <w:r w:rsidR="007318F2" w:rsidRPr="000E3713">
        <w:rPr>
          <w:rFonts w:asciiTheme="minorHAnsi" w:hAnsiTheme="minorHAnsi" w:cstheme="minorHAnsi"/>
          <w:bCs/>
          <w:vertAlign w:val="superscript"/>
        </w:rPr>
        <w:t>,</w:t>
      </w:r>
      <w:r w:rsidR="007318F2">
        <w:rPr>
          <w:rStyle w:val="FootnoteReference"/>
          <w:rFonts w:asciiTheme="minorHAnsi" w:hAnsiTheme="minorHAnsi" w:cstheme="minorHAnsi"/>
          <w:bCs/>
        </w:rPr>
        <w:footnoteReference w:id="75"/>
      </w:r>
      <w:r w:rsidR="007318F2">
        <w:rPr>
          <w:rFonts w:asciiTheme="minorHAnsi" w:hAnsiTheme="minorHAnsi" w:cstheme="minorHAnsi"/>
          <w:bCs/>
        </w:rPr>
        <w:t xml:space="preserve"> </w:t>
      </w:r>
      <w:r w:rsidR="004855BC">
        <w:rPr>
          <w:rFonts w:asciiTheme="minorHAnsi" w:hAnsiTheme="minorHAnsi" w:cstheme="minorHAnsi"/>
          <w:color w:val="000000" w:themeColor="text1"/>
        </w:rPr>
        <w:t>Recent research has shown</w:t>
      </w:r>
      <w:r w:rsidR="00E77E0B" w:rsidRPr="005E7DD1">
        <w:rPr>
          <w:rFonts w:asciiTheme="minorHAnsi" w:hAnsiTheme="minorHAnsi" w:cstheme="minorHAnsi"/>
          <w:color w:val="000000" w:themeColor="text1"/>
        </w:rPr>
        <w:t xml:space="preserve"> that exposure to </w:t>
      </w:r>
      <w:r w:rsidR="004855BC">
        <w:rPr>
          <w:rFonts w:asciiTheme="minorHAnsi" w:hAnsiTheme="minorHAnsi" w:cstheme="minorHAnsi"/>
          <w:color w:val="000000" w:themeColor="text1"/>
        </w:rPr>
        <w:t>cannabis</w:t>
      </w:r>
      <w:r w:rsidR="00E77E0B" w:rsidRPr="005E7DD1">
        <w:rPr>
          <w:rFonts w:asciiTheme="minorHAnsi" w:hAnsiTheme="minorHAnsi" w:cstheme="minorHAnsi"/>
          <w:color w:val="000000" w:themeColor="text1"/>
        </w:rPr>
        <w:t xml:space="preserve"> advertising </w:t>
      </w:r>
      <w:r w:rsidR="004855BC">
        <w:rPr>
          <w:rFonts w:asciiTheme="minorHAnsi" w:hAnsiTheme="minorHAnsi" w:cstheme="minorHAnsi"/>
          <w:color w:val="000000" w:themeColor="text1"/>
        </w:rPr>
        <w:t>is associated with</w:t>
      </w:r>
      <w:r w:rsidR="004855BC" w:rsidRPr="005E7DD1">
        <w:rPr>
          <w:rFonts w:asciiTheme="minorHAnsi" w:hAnsiTheme="minorHAnsi" w:cstheme="minorHAnsi"/>
          <w:color w:val="000000" w:themeColor="text1"/>
        </w:rPr>
        <w:t xml:space="preserve"> </w:t>
      </w:r>
      <w:r w:rsidR="00E77E0B" w:rsidRPr="005E7DD1">
        <w:rPr>
          <w:rFonts w:asciiTheme="minorHAnsi" w:hAnsiTheme="minorHAnsi" w:cstheme="minorHAnsi"/>
          <w:color w:val="000000" w:themeColor="text1"/>
        </w:rPr>
        <w:t xml:space="preserve">youth </w:t>
      </w:r>
      <w:r w:rsidR="004855BC">
        <w:rPr>
          <w:rFonts w:asciiTheme="minorHAnsi" w:hAnsiTheme="minorHAnsi" w:cstheme="minorHAnsi"/>
          <w:color w:val="000000" w:themeColor="text1"/>
        </w:rPr>
        <w:t>cannabis</w:t>
      </w:r>
      <w:r w:rsidR="00E77E0B" w:rsidRPr="005E7DD1">
        <w:rPr>
          <w:rFonts w:asciiTheme="minorHAnsi" w:hAnsiTheme="minorHAnsi" w:cstheme="minorHAnsi"/>
          <w:color w:val="000000" w:themeColor="text1"/>
        </w:rPr>
        <w:t xml:space="preserve"> use.</w:t>
      </w:r>
      <w:r w:rsidR="004855BC">
        <w:rPr>
          <w:rStyle w:val="FootnoteReference"/>
          <w:rFonts w:asciiTheme="minorHAnsi" w:hAnsiTheme="minorHAnsi" w:cstheme="minorHAnsi"/>
          <w:color w:val="000000" w:themeColor="text1"/>
        </w:rPr>
        <w:footnoteReference w:id="76"/>
      </w:r>
      <w:r w:rsidR="00E77E0B" w:rsidRPr="005E7DD1">
        <w:rPr>
          <w:rFonts w:asciiTheme="minorHAnsi" w:hAnsiTheme="minorHAnsi" w:cstheme="minorHAnsi"/>
          <w:color w:val="000000" w:themeColor="text1"/>
        </w:rPr>
        <w:t xml:space="preserve"> </w:t>
      </w:r>
      <w:r w:rsidR="00561F1B" w:rsidRPr="005E7DD1">
        <w:rPr>
          <w:rFonts w:asciiTheme="minorHAnsi" w:hAnsiTheme="minorHAnsi" w:cstheme="minorHAnsi"/>
          <w:color w:val="000000" w:themeColor="text1"/>
        </w:rPr>
        <w:t xml:space="preserve">Limiting youth exposure to cannabis business advertisements can minimize the normalization of the product and use and prevent businesses from marketing and encouraging the use of new and unique product types. A jurisdiction that limits other </w:t>
      </w:r>
      <w:r w:rsidR="006C46DE">
        <w:rPr>
          <w:rFonts w:asciiTheme="minorHAnsi" w:hAnsiTheme="minorHAnsi" w:cstheme="minorHAnsi"/>
          <w:color w:val="000000" w:themeColor="text1"/>
        </w:rPr>
        <w:t xml:space="preserve">cannabis </w:t>
      </w:r>
      <w:r w:rsidR="00561F1B" w:rsidRPr="005E7DD1">
        <w:rPr>
          <w:rFonts w:asciiTheme="minorHAnsi" w:hAnsiTheme="minorHAnsi" w:cstheme="minorHAnsi"/>
          <w:color w:val="000000" w:themeColor="text1"/>
        </w:rPr>
        <w:t xml:space="preserve">advertising is awarded three points. </w:t>
      </w:r>
    </w:p>
    <w:p w14:paraId="2BB101C0" w14:textId="77777777" w:rsidR="009429F1" w:rsidRPr="005E7DD1" w:rsidRDefault="009429F1" w:rsidP="009429F1">
      <w:pPr>
        <w:autoSpaceDE w:val="0"/>
        <w:autoSpaceDN w:val="0"/>
        <w:adjustRightInd w:val="0"/>
        <w:rPr>
          <w:rFonts w:asciiTheme="minorHAnsi" w:hAnsiTheme="minorHAnsi" w:cstheme="minorHAnsi"/>
          <w:b/>
        </w:rPr>
      </w:pPr>
    </w:p>
    <w:p w14:paraId="409CF8B1" w14:textId="1B1566AC" w:rsidR="009429F1" w:rsidRPr="005E7DD1" w:rsidRDefault="009429F1" w:rsidP="009429F1">
      <w:pPr>
        <w:autoSpaceDE w:val="0"/>
        <w:autoSpaceDN w:val="0"/>
        <w:adjustRightInd w:val="0"/>
        <w:rPr>
          <w:rFonts w:asciiTheme="minorHAnsi" w:hAnsiTheme="minorHAnsi" w:cstheme="minorHAnsi"/>
          <w:b/>
          <w:color w:val="4472C4" w:themeColor="accent1"/>
        </w:rPr>
      </w:pPr>
      <w:r w:rsidRPr="005E7DD1">
        <w:rPr>
          <w:rFonts w:asciiTheme="minorHAnsi" w:hAnsiTheme="minorHAnsi" w:cstheme="minorHAnsi"/>
          <w:b/>
          <w:color w:val="4472C4" w:themeColor="accent1"/>
        </w:rPr>
        <w:t>Restrictions on marketing to youth</w:t>
      </w:r>
      <w:r w:rsidR="007A6306">
        <w:rPr>
          <w:rFonts w:asciiTheme="minorHAnsi" w:hAnsiTheme="minorHAnsi" w:cstheme="minorHAnsi"/>
          <w:b/>
          <w:color w:val="4472C4" w:themeColor="accent1"/>
        </w:rPr>
        <w:t xml:space="preserve"> </w:t>
      </w:r>
      <w:r w:rsidRPr="005E7DD1">
        <w:rPr>
          <w:rFonts w:asciiTheme="minorHAnsi" w:hAnsiTheme="minorHAnsi" w:cstheme="minorHAnsi"/>
          <w:b/>
          <w:color w:val="4472C4" w:themeColor="accent1"/>
        </w:rPr>
        <w:t>(2 points)</w:t>
      </w:r>
    </w:p>
    <w:p w14:paraId="22D3C0A6" w14:textId="53F8B1FF" w:rsidR="009429F1" w:rsidRPr="005E7DD1" w:rsidRDefault="00747A79" w:rsidP="00E74F6A">
      <w:pPr>
        <w:jc w:val="both"/>
        <w:rPr>
          <w:rFonts w:asciiTheme="minorHAnsi" w:hAnsiTheme="minorHAnsi" w:cstheme="minorHAnsi"/>
          <w:b/>
        </w:rPr>
      </w:pPr>
      <w:r w:rsidRPr="005E7DD1">
        <w:rPr>
          <w:rFonts w:asciiTheme="minorHAnsi" w:hAnsiTheme="minorHAnsi" w:cstheme="minorHAnsi"/>
          <w:b/>
        </w:rPr>
        <w:t xml:space="preserve">Description: </w:t>
      </w:r>
      <w:r w:rsidR="003360B5">
        <w:rPr>
          <w:rFonts w:asciiTheme="minorHAnsi" w:hAnsiTheme="minorHAnsi" w:cstheme="minorHAnsi"/>
        </w:rPr>
        <w:t xml:space="preserve">Detailed restrictions on advertising </w:t>
      </w:r>
      <w:r w:rsidR="00677090">
        <w:rPr>
          <w:rFonts w:asciiTheme="minorHAnsi" w:hAnsiTheme="minorHAnsi" w:cstheme="minorHAnsi"/>
        </w:rPr>
        <w:t>attractive to</w:t>
      </w:r>
      <w:r w:rsidR="003360B5">
        <w:rPr>
          <w:rFonts w:asciiTheme="minorHAnsi" w:hAnsiTheme="minorHAnsi" w:cstheme="minorHAnsi"/>
        </w:rPr>
        <w:t xml:space="preserve"> youth. </w:t>
      </w:r>
    </w:p>
    <w:p w14:paraId="5A736044" w14:textId="77777777" w:rsidR="00747A79" w:rsidRPr="005E7DD1" w:rsidRDefault="00747A79" w:rsidP="00E74F6A">
      <w:pPr>
        <w:jc w:val="both"/>
        <w:rPr>
          <w:rFonts w:asciiTheme="minorHAnsi" w:hAnsiTheme="minorHAnsi" w:cstheme="minorHAnsi"/>
          <w:b/>
        </w:rPr>
      </w:pPr>
    </w:p>
    <w:p w14:paraId="2329A920" w14:textId="596A67E3" w:rsidR="00644BC2" w:rsidRPr="005E7DD1" w:rsidRDefault="00747A79" w:rsidP="00E74F6A">
      <w:pPr>
        <w:jc w:val="both"/>
        <w:rPr>
          <w:rFonts w:asciiTheme="minorHAnsi" w:hAnsiTheme="minorHAnsi" w:cstheme="minorHAnsi"/>
        </w:rPr>
      </w:pPr>
      <w:r w:rsidRPr="005E7DD1">
        <w:rPr>
          <w:rFonts w:asciiTheme="minorHAnsi" w:hAnsiTheme="minorHAnsi" w:cstheme="minorHAnsi"/>
          <w:b/>
        </w:rPr>
        <w:t xml:space="preserve">State Law: </w:t>
      </w:r>
      <w:r w:rsidR="003360B5">
        <w:rPr>
          <w:rFonts w:asciiTheme="minorHAnsi" w:hAnsiTheme="minorHAnsi" w:cstheme="minorHAnsi"/>
        </w:rPr>
        <w:t>California state law states “</w:t>
      </w:r>
      <w:r w:rsidR="003360B5" w:rsidRPr="003360B5">
        <w:rPr>
          <w:rFonts w:asciiTheme="minorHAnsi" w:hAnsiTheme="minorHAnsi" w:cstheme="minorHAnsi"/>
        </w:rPr>
        <w:t>No licensee shall: (e) Advertise or market marijuana or marijuana products in a manner intended to encourage persons under the age of 21 years to consume marijuana or marijuana products; (f) Publish or disseminate advertising or marketing containing symbols, language, music, gestures, cartoon characters or other content elements known to appeal primarily to persons below the legal age of consumption; or (g) Advertise or market marijuana or marijuana products on an advertising sign within 1,000 feet of a day care center, school providing instruction in kindergarten or any grades 1 through 12, playground, or youth center.</w:t>
      </w:r>
      <w:r w:rsidR="003360B5">
        <w:rPr>
          <w:rFonts w:asciiTheme="minorHAnsi" w:hAnsiTheme="minorHAnsi" w:cstheme="minorHAnsi"/>
        </w:rPr>
        <w:t>”</w:t>
      </w:r>
      <w:r w:rsidR="003360B5">
        <w:rPr>
          <w:rStyle w:val="FootnoteReference"/>
          <w:rFonts w:asciiTheme="minorHAnsi" w:hAnsiTheme="minorHAnsi" w:cstheme="minorHAnsi"/>
        </w:rPr>
        <w:footnoteReference w:id="77"/>
      </w:r>
      <w:r w:rsidR="003360B5">
        <w:rPr>
          <w:rFonts w:asciiTheme="minorHAnsi" w:hAnsiTheme="minorHAnsi" w:cstheme="minorHAnsi"/>
        </w:rPr>
        <w:t xml:space="preserve"> Additionally,</w:t>
      </w:r>
      <w:r w:rsidR="00F94D7B">
        <w:rPr>
          <w:rFonts w:asciiTheme="minorHAnsi" w:hAnsiTheme="minorHAnsi" w:cstheme="minorHAnsi"/>
        </w:rPr>
        <w:t xml:space="preserve"> </w:t>
      </w:r>
      <w:r w:rsidR="003360B5">
        <w:rPr>
          <w:rFonts w:asciiTheme="minorHAnsi" w:hAnsiTheme="minorHAnsi" w:cstheme="minorHAnsi"/>
          <w:color w:val="000000" w:themeColor="text1"/>
        </w:rPr>
        <w:t>Bureau of Cannabis Control regulations states that “any advertising or marketing…</w:t>
      </w:r>
      <w:r w:rsidR="003360B5" w:rsidRPr="003360B5">
        <w:rPr>
          <w:rFonts w:asciiTheme="minorHAnsi" w:hAnsiTheme="minorHAnsi" w:cstheme="minorHAnsi"/>
          <w:color w:val="000000" w:themeColor="text1"/>
        </w:rPr>
        <w:t xml:space="preserve"> that is placed in broadcast, cable, radio, print, and digital communications: (1) Shall only be displayed after a licensee has obtained reliable up-to-date audience composition data demonstrating that at least 71.6 percent of the audience viewing the advertising or marketing is reasonably expected to be 21 years of age or older; (2) Shall not use any depictions or images of minors or anyone under 21 years of age; (3) Shall not contain the use of objects, such as toys, inflatables, movie characters, cartoon characters, or include any other display, depiction, or image designed in any manner likely to be appealing to minors or anyone under 21 years of age</w:t>
      </w:r>
      <w:r w:rsidR="003360B5">
        <w:rPr>
          <w:rFonts w:asciiTheme="minorHAnsi" w:hAnsiTheme="minorHAnsi" w:cstheme="minorHAnsi"/>
          <w:color w:val="000000" w:themeColor="text1"/>
        </w:rPr>
        <w:t>.</w:t>
      </w:r>
      <w:r w:rsidR="003360B5">
        <w:rPr>
          <w:rStyle w:val="FootnoteReference"/>
          <w:rFonts w:asciiTheme="minorHAnsi" w:hAnsiTheme="minorHAnsi" w:cstheme="minorHAnsi"/>
          <w:color w:val="000000" w:themeColor="text1"/>
        </w:rPr>
        <w:footnoteReference w:id="78"/>
      </w:r>
      <w:r w:rsidR="00F94D7B">
        <w:rPr>
          <w:rFonts w:asciiTheme="minorHAnsi" w:hAnsiTheme="minorHAnsi" w:cstheme="minorHAnsi"/>
          <w:color w:val="000000" w:themeColor="text1"/>
        </w:rPr>
        <w:t xml:space="preserve"> </w:t>
      </w:r>
      <w:r w:rsidR="009278D1">
        <w:rPr>
          <w:rFonts w:asciiTheme="minorHAnsi" w:hAnsiTheme="minorHAnsi" w:cstheme="minorHAnsi"/>
        </w:rPr>
        <w:t>Finally, state regulations prohibit any labeling that imitates candy packaging or labeling, and the terms “candy” or “candies” or alternatives like “</w:t>
      </w:r>
      <w:proofErr w:type="spellStart"/>
      <w:r w:rsidR="009278D1">
        <w:rPr>
          <w:rFonts w:asciiTheme="minorHAnsi" w:hAnsiTheme="minorHAnsi" w:cstheme="minorHAnsi"/>
        </w:rPr>
        <w:t>kandy</w:t>
      </w:r>
      <w:proofErr w:type="spellEnd"/>
      <w:r w:rsidR="009278D1">
        <w:rPr>
          <w:rFonts w:asciiTheme="minorHAnsi" w:hAnsiTheme="minorHAnsi" w:cstheme="minorHAnsi"/>
        </w:rPr>
        <w:t>” and “</w:t>
      </w:r>
      <w:proofErr w:type="spellStart"/>
      <w:r w:rsidR="009278D1">
        <w:rPr>
          <w:rFonts w:asciiTheme="minorHAnsi" w:hAnsiTheme="minorHAnsi" w:cstheme="minorHAnsi"/>
        </w:rPr>
        <w:t>Kandeez</w:t>
      </w:r>
      <w:proofErr w:type="spellEnd"/>
      <w:r w:rsidR="009278D1">
        <w:rPr>
          <w:rFonts w:asciiTheme="minorHAnsi" w:hAnsiTheme="minorHAnsi" w:cstheme="minorHAnsi"/>
        </w:rPr>
        <w:t xml:space="preserve">.”(§40410). Score: 2. </w:t>
      </w:r>
    </w:p>
    <w:p w14:paraId="0C9720A2" w14:textId="1CCBA412" w:rsidR="00747A79" w:rsidRPr="005E7DD1" w:rsidRDefault="00747A79" w:rsidP="00E74F6A">
      <w:pPr>
        <w:jc w:val="both"/>
        <w:rPr>
          <w:rFonts w:asciiTheme="minorHAnsi" w:hAnsiTheme="minorHAnsi" w:cstheme="minorHAnsi"/>
          <w:b/>
        </w:rPr>
      </w:pPr>
    </w:p>
    <w:p w14:paraId="7DE029B1" w14:textId="46161927" w:rsidR="00644BC2" w:rsidRPr="005E7DD1" w:rsidRDefault="00747A79" w:rsidP="00E74F6A">
      <w:pPr>
        <w:jc w:val="both"/>
        <w:rPr>
          <w:rFonts w:asciiTheme="minorHAnsi" w:hAnsiTheme="minorHAnsi" w:cstheme="minorHAnsi"/>
          <w:b/>
        </w:rPr>
      </w:pPr>
      <w:r w:rsidRPr="005E7DD1">
        <w:rPr>
          <w:rFonts w:asciiTheme="minorHAnsi" w:hAnsiTheme="minorHAnsi" w:cstheme="minorHAnsi"/>
          <w:b/>
        </w:rPr>
        <w:t>Rationale</w:t>
      </w:r>
      <w:r w:rsidR="00C21A9A">
        <w:rPr>
          <w:rFonts w:asciiTheme="minorHAnsi" w:hAnsiTheme="minorHAnsi" w:cstheme="minorHAnsi"/>
          <w:b/>
        </w:rPr>
        <w:t xml:space="preserve"> &amp; Points</w:t>
      </w:r>
      <w:r w:rsidRPr="005E7DD1">
        <w:rPr>
          <w:rFonts w:asciiTheme="minorHAnsi" w:hAnsiTheme="minorHAnsi" w:cstheme="minorHAnsi"/>
          <w:b/>
        </w:rPr>
        <w:t xml:space="preserve">: </w:t>
      </w:r>
      <w:r w:rsidRPr="005E7DD1">
        <w:rPr>
          <w:rFonts w:asciiTheme="minorHAnsi" w:hAnsiTheme="minorHAnsi" w:cstheme="minorHAnsi"/>
        </w:rPr>
        <w:t xml:space="preserve">A systematic review of the literature on youth perceptions of advertising for alcohol, tobacco and food, found specific content features to which minors are particularly susceptible due to their unique developmental stage, propensity for high-risk behaviors, and </w:t>
      </w:r>
      <w:r w:rsidRPr="005E7DD1">
        <w:rPr>
          <w:rFonts w:asciiTheme="minorHAnsi" w:hAnsiTheme="minorHAnsi" w:cstheme="minorHAnsi"/>
        </w:rPr>
        <w:lastRenderedPageBreak/>
        <w:t>relative inexperience with consumption of alcohol and tobacco.</w:t>
      </w:r>
      <w:r w:rsidRPr="00E56061">
        <w:rPr>
          <w:rStyle w:val="FootnoteReference"/>
          <w:rFonts w:asciiTheme="minorHAnsi" w:hAnsiTheme="minorHAnsi" w:cs="Calibri (Body)"/>
        </w:rPr>
        <w:footnoteReference w:id="79"/>
      </w:r>
      <w:r w:rsidR="00E56061" w:rsidRPr="008C70EE">
        <w:rPr>
          <w:rFonts w:asciiTheme="minorHAnsi" w:hAnsiTheme="minorHAnsi" w:cs="Calibri (Body)"/>
          <w:vertAlign w:val="superscript"/>
        </w:rPr>
        <w:t>,</w:t>
      </w:r>
      <w:r w:rsidRPr="00E56061">
        <w:rPr>
          <w:rStyle w:val="FootnoteReference"/>
          <w:rFonts w:asciiTheme="minorHAnsi" w:hAnsiTheme="minorHAnsi" w:cs="Calibri (Body)"/>
        </w:rPr>
        <w:footnoteReference w:id="80"/>
      </w:r>
      <w:r w:rsidR="00E56061" w:rsidRPr="008C70EE">
        <w:rPr>
          <w:rFonts w:asciiTheme="minorHAnsi" w:hAnsiTheme="minorHAnsi" w:cs="Calibri (Body)"/>
          <w:vertAlign w:val="superscript"/>
        </w:rPr>
        <w:t>,</w:t>
      </w:r>
      <w:r w:rsidRPr="00E56061">
        <w:rPr>
          <w:rStyle w:val="FootnoteReference"/>
          <w:rFonts w:asciiTheme="minorHAnsi" w:hAnsiTheme="minorHAnsi" w:cs="Calibri (Body)"/>
        </w:rPr>
        <w:footnoteReference w:id="81"/>
      </w:r>
      <w:r w:rsidR="00E56061" w:rsidRPr="008C70EE">
        <w:rPr>
          <w:rFonts w:asciiTheme="minorHAnsi" w:hAnsiTheme="minorHAnsi" w:cs="Calibri (Body)"/>
          <w:vertAlign w:val="superscript"/>
        </w:rPr>
        <w:t>,</w:t>
      </w:r>
      <w:r w:rsidRPr="00E56061">
        <w:rPr>
          <w:rStyle w:val="FootnoteReference"/>
          <w:rFonts w:asciiTheme="minorHAnsi" w:hAnsiTheme="minorHAnsi" w:cs="Calibri (Body)"/>
        </w:rPr>
        <w:footnoteReference w:id="82"/>
      </w:r>
      <w:r w:rsidR="00E56061" w:rsidRPr="008C70EE">
        <w:rPr>
          <w:rFonts w:asciiTheme="minorHAnsi" w:hAnsiTheme="minorHAnsi" w:cs="Calibri (Body)"/>
          <w:vertAlign w:val="superscript"/>
        </w:rPr>
        <w:t>,</w:t>
      </w:r>
      <w:r w:rsidRPr="00E56061">
        <w:rPr>
          <w:rStyle w:val="FootnoteReference"/>
          <w:rFonts w:asciiTheme="minorHAnsi" w:hAnsiTheme="minorHAnsi" w:cs="Calibri (Body)"/>
        </w:rPr>
        <w:footnoteReference w:id="83"/>
      </w:r>
      <w:r w:rsidRPr="005E7DD1">
        <w:rPr>
          <w:rFonts w:asciiTheme="minorHAnsi" w:hAnsiTheme="minorHAnsi" w:cstheme="minorHAnsi"/>
        </w:rPr>
        <w:t>A subsequent analysis found a positive association between the use of such features in alcohol brand advertisements and youth consumption of those brands, and no association with adult alcohol consumption of those brands, suggesting they have particular appeal for youth.</w:t>
      </w:r>
      <w:r w:rsidR="00AF4F78" w:rsidRPr="005E7DD1">
        <w:rPr>
          <w:rStyle w:val="FootnoteReference"/>
          <w:rFonts w:asciiTheme="minorHAnsi" w:hAnsiTheme="minorHAnsi" w:cstheme="minorHAnsi"/>
        </w:rPr>
        <w:footnoteReference w:id="84"/>
      </w:r>
      <w:r w:rsidR="00AF4F78" w:rsidRPr="005E7DD1">
        <w:rPr>
          <w:rFonts w:asciiTheme="minorHAnsi" w:hAnsiTheme="minorHAnsi" w:cstheme="minorHAnsi"/>
        </w:rPr>
        <w:t xml:space="preserve"> Similar advertising tactics by the cannabis industry are expected to have similar results of attracting youth users.</w:t>
      </w:r>
      <w:r w:rsidR="00F94D7B">
        <w:rPr>
          <w:rFonts w:asciiTheme="minorHAnsi" w:hAnsiTheme="minorHAnsi" w:cstheme="minorHAnsi"/>
        </w:rPr>
        <w:t xml:space="preserve"> </w:t>
      </w:r>
      <w:r w:rsidR="006C46DE">
        <w:rPr>
          <w:rFonts w:asciiTheme="minorHAnsi" w:hAnsiTheme="minorHAnsi" w:cstheme="minorHAnsi"/>
        </w:rPr>
        <w:t xml:space="preserve">The State Cannabis Advisory Committee recommended modifying the audience threshold </w:t>
      </w:r>
      <w:r w:rsidR="0017130F">
        <w:rPr>
          <w:rFonts w:asciiTheme="minorHAnsi" w:hAnsiTheme="minorHAnsi" w:cstheme="minorHAnsi"/>
        </w:rPr>
        <w:t xml:space="preserve">from 71.6% adult </w:t>
      </w:r>
      <w:r w:rsidR="006C46DE">
        <w:rPr>
          <w:rFonts w:asciiTheme="minorHAnsi" w:hAnsiTheme="minorHAnsi" w:cstheme="minorHAnsi"/>
        </w:rPr>
        <w:t xml:space="preserve">to </w:t>
      </w:r>
      <w:r w:rsidR="0017130F">
        <w:rPr>
          <w:rFonts w:asciiTheme="minorHAnsi" w:hAnsiTheme="minorHAnsi" w:cstheme="minorHAnsi"/>
        </w:rPr>
        <w:t xml:space="preserve">85% adult viewers, as </w:t>
      </w:r>
      <w:r w:rsidR="006C46DE">
        <w:rPr>
          <w:rFonts w:asciiTheme="minorHAnsi" w:hAnsiTheme="minorHAnsi" w:cstheme="minorHAnsi"/>
        </w:rPr>
        <w:t>recommended by the Institute of Medicine</w:t>
      </w:r>
      <w:r w:rsidR="00E56061">
        <w:rPr>
          <w:rFonts w:asciiTheme="minorHAnsi" w:hAnsiTheme="minorHAnsi" w:cstheme="minorHAnsi"/>
        </w:rPr>
        <w:t xml:space="preserve"> for alcohol</w:t>
      </w:r>
      <w:r w:rsidR="0017130F">
        <w:rPr>
          <w:rFonts w:asciiTheme="minorHAnsi" w:hAnsiTheme="minorHAnsi" w:cstheme="minorHAnsi"/>
        </w:rPr>
        <w:t>,</w:t>
      </w:r>
      <w:r w:rsidR="003360B5">
        <w:rPr>
          <w:rStyle w:val="FootnoteReference"/>
          <w:rFonts w:asciiTheme="minorHAnsi" w:hAnsiTheme="minorHAnsi" w:cstheme="minorHAnsi"/>
        </w:rPr>
        <w:footnoteReference w:id="85"/>
      </w:r>
      <w:r w:rsidR="003360B5">
        <w:rPr>
          <w:rFonts w:asciiTheme="minorHAnsi" w:hAnsiTheme="minorHAnsi" w:cstheme="minorHAnsi"/>
        </w:rPr>
        <w:t xml:space="preserve"> </w:t>
      </w:r>
      <w:r w:rsidR="006C46DE">
        <w:rPr>
          <w:rFonts w:asciiTheme="minorHAnsi" w:hAnsiTheme="minorHAnsi" w:cstheme="minorHAnsi"/>
        </w:rPr>
        <w:t xml:space="preserve">but this has not been adopted by the state Legislature. </w:t>
      </w:r>
      <w:r w:rsidR="00561F1B" w:rsidRPr="005E7DD1">
        <w:rPr>
          <w:rFonts w:asciiTheme="minorHAnsi" w:hAnsiTheme="minorHAnsi" w:cstheme="minorHAnsi"/>
        </w:rPr>
        <w:t xml:space="preserve">A jurisdiction that actively restricts marketing aimed at youth beyond state law is awarded two points. </w:t>
      </w:r>
    </w:p>
    <w:p w14:paraId="545270D3" w14:textId="77777777" w:rsidR="00C21A9A" w:rsidRPr="005E7DD1" w:rsidRDefault="00C21A9A" w:rsidP="00DE1E77">
      <w:pPr>
        <w:rPr>
          <w:rFonts w:asciiTheme="minorHAnsi" w:hAnsiTheme="minorHAnsi" w:cstheme="minorHAnsi"/>
          <w:b/>
        </w:rPr>
      </w:pPr>
    </w:p>
    <w:p w14:paraId="0DB91EF1" w14:textId="77777777" w:rsidR="000F7E14" w:rsidRPr="005E7DD1" w:rsidRDefault="00AF4F78" w:rsidP="00561F1B">
      <w:pPr>
        <w:rPr>
          <w:rFonts w:asciiTheme="minorHAnsi" w:hAnsiTheme="minorHAnsi" w:cstheme="minorHAnsi"/>
          <w:b/>
          <w:color w:val="4472C4" w:themeColor="accent1"/>
        </w:rPr>
      </w:pPr>
      <w:r w:rsidRPr="005E7DD1">
        <w:rPr>
          <w:rFonts w:asciiTheme="minorHAnsi" w:hAnsiTheme="minorHAnsi" w:cstheme="minorHAnsi"/>
          <w:b/>
          <w:color w:val="4472C4" w:themeColor="accent1"/>
        </w:rPr>
        <w:t>CATEGORY FIVE: SMOKE-FREE AIR</w:t>
      </w:r>
    </w:p>
    <w:p w14:paraId="7713AD53" w14:textId="137E8C33" w:rsidR="000F7E14" w:rsidRPr="005E7DD1" w:rsidRDefault="000F7E14" w:rsidP="00E74F6A">
      <w:pPr>
        <w:jc w:val="both"/>
        <w:rPr>
          <w:rFonts w:asciiTheme="minorHAnsi" w:hAnsiTheme="minorHAnsi" w:cstheme="minorHAnsi"/>
        </w:rPr>
      </w:pPr>
      <w:r w:rsidRPr="005E7DD1">
        <w:rPr>
          <w:rFonts w:asciiTheme="minorHAnsi" w:hAnsiTheme="minorHAnsi" w:cstheme="minorHAnsi"/>
        </w:rPr>
        <w:t>Sm</w:t>
      </w:r>
      <w:r w:rsidR="00561F1B" w:rsidRPr="005E7DD1">
        <w:rPr>
          <w:rFonts w:asciiTheme="minorHAnsi" w:hAnsiTheme="minorHAnsi" w:cstheme="minorHAnsi"/>
        </w:rPr>
        <w:t>oke-free air laws</w:t>
      </w:r>
      <w:r w:rsidRPr="005E7DD1">
        <w:rPr>
          <w:rFonts w:asciiTheme="minorHAnsi" w:hAnsiTheme="minorHAnsi" w:cstheme="minorHAnsi"/>
        </w:rPr>
        <w:t xml:space="preserve"> protect people from the health effects of exposure to secondhand smoke. Secondhand smoke can contain nearly seventy cancer causing chemicals</w:t>
      </w:r>
      <w:r w:rsidRPr="005E7DD1">
        <w:rPr>
          <w:rStyle w:val="FootnoteReference"/>
          <w:rFonts w:asciiTheme="minorHAnsi" w:hAnsiTheme="minorHAnsi" w:cstheme="minorHAnsi"/>
        </w:rPr>
        <w:footnoteReference w:id="86"/>
      </w:r>
      <w:r w:rsidRPr="005E7DD1">
        <w:rPr>
          <w:rFonts w:asciiTheme="minorHAnsi" w:hAnsiTheme="minorHAnsi" w:cstheme="minorHAnsi"/>
        </w:rPr>
        <w:t xml:space="preserve"> and there is no safe level of secondhand smoke.</w:t>
      </w:r>
      <w:r w:rsidR="007A6306">
        <w:rPr>
          <w:rFonts w:asciiTheme="minorHAnsi" w:hAnsiTheme="minorHAnsi" w:cstheme="minorHAnsi"/>
        </w:rPr>
        <w:t xml:space="preserve"> </w:t>
      </w:r>
      <w:r w:rsidRPr="005E7DD1">
        <w:rPr>
          <w:rFonts w:asciiTheme="minorHAnsi" w:hAnsiTheme="minorHAnsi" w:cstheme="minorHAnsi"/>
        </w:rPr>
        <w:t>Exposure to secondhand smoke causes significant health risks (including cardiovascular disease, lung cancer and SIDS) and is especially dangerous to children, the elderly, the chronically ill, and pregnant women.</w:t>
      </w:r>
      <w:r w:rsidR="007A6306">
        <w:rPr>
          <w:rFonts w:asciiTheme="minorHAnsi" w:hAnsiTheme="minorHAnsi" w:cstheme="minorHAnsi"/>
        </w:rPr>
        <w:t xml:space="preserve"> </w:t>
      </w:r>
      <w:r w:rsidRPr="005E7DD1">
        <w:rPr>
          <w:rFonts w:asciiTheme="minorHAnsi" w:hAnsiTheme="minorHAnsi" w:cstheme="minorHAnsi"/>
        </w:rPr>
        <w:t>According to the CDC, 2.5 million adults have died from breathing second hand smoke since 1964.</w:t>
      </w:r>
      <w:r w:rsidRPr="005E7DD1">
        <w:rPr>
          <w:rStyle w:val="FootnoteReference"/>
          <w:rFonts w:asciiTheme="minorHAnsi" w:hAnsiTheme="minorHAnsi" w:cstheme="minorHAnsi"/>
        </w:rPr>
        <w:footnoteReference w:id="87"/>
      </w:r>
      <w:r w:rsidRPr="005E7DD1">
        <w:rPr>
          <w:rFonts w:asciiTheme="minorHAnsi" w:hAnsiTheme="minorHAnsi" w:cstheme="minorHAnsi"/>
        </w:rPr>
        <w:t xml:space="preserve"> Comprehensive </w:t>
      </w:r>
      <w:proofErr w:type="spellStart"/>
      <w:r w:rsidRPr="005E7DD1">
        <w:rPr>
          <w:rFonts w:asciiTheme="minorHAnsi" w:hAnsiTheme="minorHAnsi" w:cstheme="minorHAnsi"/>
        </w:rPr>
        <w:t>smokefree</w:t>
      </w:r>
      <w:proofErr w:type="spellEnd"/>
      <w:r w:rsidRPr="005E7DD1">
        <w:rPr>
          <w:rFonts w:asciiTheme="minorHAnsi" w:hAnsiTheme="minorHAnsi" w:cstheme="minorHAnsi"/>
        </w:rPr>
        <w:t xml:space="preserve"> air policies, such as prohibitions on smoking in restaurants and bars, workplaces, schools, and other public places, has been shown to improve air quality and reduce secondhand smoke exposure.</w:t>
      </w:r>
      <w:r w:rsidRPr="005E7DD1">
        <w:rPr>
          <w:rStyle w:val="FootnoteReference"/>
          <w:rFonts w:asciiTheme="minorHAnsi" w:hAnsiTheme="minorHAnsi" w:cstheme="minorHAnsi"/>
        </w:rPr>
        <w:footnoteReference w:id="88"/>
      </w:r>
      <w:r w:rsidRPr="005E7DD1">
        <w:rPr>
          <w:rFonts w:asciiTheme="minorHAnsi" w:hAnsiTheme="minorHAnsi" w:cstheme="minorHAnsi"/>
        </w:rPr>
        <w:t xml:space="preserve"> </w:t>
      </w:r>
      <w:r w:rsidR="00C3372A" w:rsidRPr="005E7DD1">
        <w:rPr>
          <w:rFonts w:asciiTheme="minorHAnsi" w:hAnsiTheme="minorHAnsi" w:cstheme="minorHAnsi"/>
        </w:rPr>
        <w:t xml:space="preserve">Unfortunately, certain cannabis policies may work to seriously undermine the progress gained on </w:t>
      </w:r>
      <w:proofErr w:type="spellStart"/>
      <w:r w:rsidR="00C3372A" w:rsidRPr="005E7DD1">
        <w:rPr>
          <w:rFonts w:asciiTheme="minorHAnsi" w:hAnsiTheme="minorHAnsi" w:cstheme="minorHAnsi"/>
        </w:rPr>
        <w:t>smokefree</w:t>
      </w:r>
      <w:proofErr w:type="spellEnd"/>
      <w:r w:rsidR="00C3372A" w:rsidRPr="005E7DD1">
        <w:rPr>
          <w:rFonts w:asciiTheme="minorHAnsi" w:hAnsiTheme="minorHAnsi" w:cstheme="minorHAnsi"/>
        </w:rPr>
        <w:t xml:space="preserve"> air in California: 1) temporary cannabis events, and 2) on-site cannabis consumption. </w:t>
      </w:r>
    </w:p>
    <w:p w14:paraId="5F976554" w14:textId="77777777" w:rsidR="000F7E14" w:rsidRPr="005E7DD1" w:rsidRDefault="000F7E14" w:rsidP="000F7E14">
      <w:pPr>
        <w:rPr>
          <w:rFonts w:asciiTheme="minorHAnsi" w:hAnsiTheme="minorHAnsi" w:cstheme="minorHAnsi"/>
        </w:rPr>
      </w:pPr>
    </w:p>
    <w:p w14:paraId="62E62D69" w14:textId="3408AC63" w:rsidR="0081626A" w:rsidRPr="005E7DD1" w:rsidRDefault="00AF4F78" w:rsidP="00C21A9A">
      <w:pPr>
        <w:rPr>
          <w:rFonts w:asciiTheme="minorHAnsi" w:hAnsiTheme="minorHAnsi" w:cstheme="minorHAnsi"/>
          <w:b/>
          <w:color w:val="4472C4" w:themeColor="accent1"/>
        </w:rPr>
      </w:pPr>
      <w:r w:rsidRPr="005E7DD1">
        <w:rPr>
          <w:rFonts w:asciiTheme="minorHAnsi" w:hAnsiTheme="minorHAnsi" w:cstheme="minorHAnsi"/>
          <w:b/>
          <w:color w:val="4472C4" w:themeColor="accent1"/>
        </w:rPr>
        <w:lastRenderedPageBreak/>
        <w:t>Ban on Temporary Events (5 points)</w:t>
      </w:r>
    </w:p>
    <w:p w14:paraId="4ECFB774" w14:textId="213F35C3" w:rsidR="00AF4F78" w:rsidRPr="005E7DD1" w:rsidRDefault="00AF4F78" w:rsidP="00E74F6A">
      <w:pPr>
        <w:autoSpaceDE w:val="0"/>
        <w:autoSpaceDN w:val="0"/>
        <w:adjustRightInd w:val="0"/>
        <w:jc w:val="both"/>
        <w:rPr>
          <w:rFonts w:asciiTheme="minorHAnsi" w:hAnsiTheme="minorHAnsi" w:cstheme="minorHAnsi"/>
          <w:color w:val="000000" w:themeColor="text1"/>
        </w:rPr>
      </w:pPr>
      <w:r w:rsidRPr="005E7DD1">
        <w:rPr>
          <w:rFonts w:asciiTheme="minorHAnsi" w:hAnsiTheme="minorHAnsi" w:cstheme="minorHAnsi"/>
          <w:b/>
          <w:color w:val="000000" w:themeColor="text1"/>
        </w:rPr>
        <w:t>Description</w:t>
      </w:r>
      <w:r w:rsidR="00490065" w:rsidRPr="005E7DD1">
        <w:rPr>
          <w:rFonts w:asciiTheme="minorHAnsi" w:hAnsiTheme="minorHAnsi" w:cstheme="minorHAnsi"/>
          <w:b/>
          <w:color w:val="000000" w:themeColor="text1"/>
        </w:rPr>
        <w:t xml:space="preserve">: </w:t>
      </w:r>
      <w:r w:rsidR="00490065" w:rsidRPr="005E7DD1">
        <w:rPr>
          <w:rFonts w:asciiTheme="minorHAnsi" w:hAnsiTheme="minorHAnsi" w:cstheme="minorHAnsi"/>
          <w:color w:val="000000" w:themeColor="text1"/>
        </w:rPr>
        <w:t>Prohibiting temporary cannabis events</w:t>
      </w:r>
      <w:r w:rsidR="0081626A" w:rsidRPr="005E7DD1">
        <w:rPr>
          <w:rFonts w:asciiTheme="minorHAnsi" w:hAnsiTheme="minorHAnsi" w:cstheme="minorHAnsi"/>
          <w:color w:val="000000" w:themeColor="text1"/>
        </w:rPr>
        <w:t xml:space="preserve"> such as at county fairs, agricultural events</w:t>
      </w:r>
      <w:r w:rsidR="006C46DE">
        <w:rPr>
          <w:rFonts w:asciiTheme="minorHAnsi" w:hAnsiTheme="minorHAnsi" w:cstheme="minorHAnsi"/>
          <w:color w:val="000000" w:themeColor="text1"/>
        </w:rPr>
        <w:t>, concerts in parks,</w:t>
      </w:r>
      <w:r w:rsidR="00F94D7B">
        <w:rPr>
          <w:rFonts w:asciiTheme="minorHAnsi" w:hAnsiTheme="minorHAnsi" w:cstheme="minorHAnsi"/>
          <w:color w:val="000000" w:themeColor="text1"/>
        </w:rPr>
        <w:t xml:space="preserve"> </w:t>
      </w:r>
      <w:r w:rsidR="0081626A" w:rsidRPr="005E7DD1">
        <w:rPr>
          <w:rFonts w:asciiTheme="minorHAnsi" w:hAnsiTheme="minorHAnsi" w:cstheme="minorHAnsi"/>
          <w:color w:val="000000" w:themeColor="text1"/>
        </w:rPr>
        <w:t xml:space="preserve">or other similar venues. </w:t>
      </w:r>
    </w:p>
    <w:p w14:paraId="338863B0" w14:textId="77777777" w:rsidR="00490065" w:rsidRPr="005E7DD1" w:rsidRDefault="00490065" w:rsidP="00E74F6A">
      <w:pPr>
        <w:autoSpaceDE w:val="0"/>
        <w:autoSpaceDN w:val="0"/>
        <w:adjustRightInd w:val="0"/>
        <w:jc w:val="both"/>
        <w:rPr>
          <w:rFonts w:asciiTheme="minorHAnsi" w:hAnsiTheme="minorHAnsi" w:cstheme="minorHAnsi"/>
          <w:b/>
          <w:color w:val="000000" w:themeColor="text1"/>
        </w:rPr>
      </w:pPr>
    </w:p>
    <w:p w14:paraId="214F0CC4" w14:textId="0EAB5C7E" w:rsidR="00490065" w:rsidRPr="005E7DD1" w:rsidRDefault="00AF4F78" w:rsidP="00E74F6A">
      <w:pPr>
        <w:autoSpaceDE w:val="0"/>
        <w:autoSpaceDN w:val="0"/>
        <w:adjustRightInd w:val="0"/>
        <w:jc w:val="both"/>
        <w:rPr>
          <w:rFonts w:asciiTheme="minorHAnsi" w:hAnsiTheme="minorHAnsi" w:cstheme="minorHAnsi"/>
          <w:color w:val="000000" w:themeColor="text1"/>
        </w:rPr>
      </w:pPr>
      <w:r w:rsidRPr="005E7DD1">
        <w:rPr>
          <w:rFonts w:asciiTheme="minorHAnsi" w:hAnsiTheme="minorHAnsi" w:cstheme="minorHAnsi"/>
          <w:b/>
          <w:color w:val="000000" w:themeColor="text1"/>
        </w:rPr>
        <w:t>State Law</w:t>
      </w:r>
      <w:r w:rsidR="00490065" w:rsidRPr="005E7DD1">
        <w:rPr>
          <w:rFonts w:asciiTheme="minorHAnsi" w:hAnsiTheme="minorHAnsi" w:cstheme="minorHAnsi"/>
          <w:b/>
          <w:color w:val="000000" w:themeColor="text1"/>
        </w:rPr>
        <w:t xml:space="preserve">: </w:t>
      </w:r>
      <w:r w:rsidR="00490065" w:rsidRPr="005E7DD1">
        <w:rPr>
          <w:rFonts w:asciiTheme="minorHAnsi" w:hAnsiTheme="minorHAnsi" w:cstheme="minorHAnsi"/>
          <w:color w:val="000000" w:themeColor="text1"/>
        </w:rPr>
        <w:t>Allows temporary cannabis events with a state license and license from the jurisdiction in which the event is scheduled to take place.</w:t>
      </w:r>
      <w:r w:rsidR="00490065" w:rsidRPr="005E7DD1">
        <w:rPr>
          <w:rStyle w:val="FootnoteReference"/>
          <w:rFonts w:asciiTheme="minorHAnsi" w:hAnsiTheme="minorHAnsi" w:cstheme="minorHAnsi"/>
          <w:color w:val="000000" w:themeColor="text1"/>
        </w:rPr>
        <w:footnoteReference w:id="89"/>
      </w:r>
      <w:r w:rsidR="00490065" w:rsidRPr="005E7DD1">
        <w:rPr>
          <w:rFonts w:asciiTheme="minorHAnsi" w:hAnsiTheme="minorHAnsi" w:cstheme="minorHAnsi"/>
          <w:color w:val="000000" w:themeColor="text1"/>
        </w:rPr>
        <w:t xml:space="preserve"> Any cannabis consumption at events requires a separate license. </w:t>
      </w:r>
      <w:r w:rsidR="00677090">
        <w:rPr>
          <w:rFonts w:asciiTheme="minorHAnsi" w:hAnsiTheme="minorHAnsi" w:cstheme="minorHAnsi"/>
          <w:color w:val="000000" w:themeColor="text1"/>
        </w:rPr>
        <w:t>Score: 0.</w:t>
      </w:r>
    </w:p>
    <w:p w14:paraId="2746F8F8" w14:textId="77777777" w:rsidR="0081626A" w:rsidRPr="005E7DD1" w:rsidRDefault="0081626A" w:rsidP="00E74F6A">
      <w:pPr>
        <w:autoSpaceDE w:val="0"/>
        <w:autoSpaceDN w:val="0"/>
        <w:adjustRightInd w:val="0"/>
        <w:jc w:val="both"/>
        <w:rPr>
          <w:rFonts w:asciiTheme="minorHAnsi" w:hAnsiTheme="minorHAnsi" w:cstheme="minorHAnsi"/>
          <w:b/>
          <w:color w:val="000000" w:themeColor="text1"/>
        </w:rPr>
      </w:pPr>
    </w:p>
    <w:p w14:paraId="79805784" w14:textId="556D2907" w:rsidR="00AF4F78" w:rsidRPr="005E7DD1" w:rsidRDefault="00AF4F78" w:rsidP="00E74F6A">
      <w:pPr>
        <w:jc w:val="both"/>
        <w:rPr>
          <w:rFonts w:asciiTheme="minorHAnsi" w:hAnsiTheme="minorHAnsi" w:cstheme="minorHAnsi"/>
        </w:rPr>
      </w:pPr>
      <w:r w:rsidRPr="005E7DD1">
        <w:rPr>
          <w:rFonts w:asciiTheme="minorHAnsi" w:hAnsiTheme="minorHAnsi" w:cstheme="minorHAnsi"/>
          <w:b/>
          <w:color w:val="000000" w:themeColor="text1"/>
        </w:rPr>
        <w:t>Rationale</w:t>
      </w:r>
      <w:r w:rsidR="00C21A9A">
        <w:rPr>
          <w:rFonts w:asciiTheme="minorHAnsi" w:hAnsiTheme="minorHAnsi" w:cstheme="minorHAnsi"/>
          <w:b/>
          <w:color w:val="000000" w:themeColor="text1"/>
        </w:rPr>
        <w:t xml:space="preserve"> &amp; Points</w:t>
      </w:r>
      <w:r w:rsidRPr="005E7DD1">
        <w:rPr>
          <w:rFonts w:asciiTheme="minorHAnsi" w:hAnsiTheme="minorHAnsi" w:cstheme="minorHAnsi"/>
          <w:b/>
          <w:color w:val="000000" w:themeColor="text1"/>
        </w:rPr>
        <w:t>:</w:t>
      </w:r>
      <w:r w:rsidR="0081626A" w:rsidRPr="005E7DD1">
        <w:rPr>
          <w:rFonts w:asciiTheme="minorHAnsi" w:hAnsiTheme="minorHAnsi" w:cstheme="minorHAnsi"/>
          <w:b/>
          <w:color w:val="000000" w:themeColor="text1"/>
        </w:rPr>
        <w:t xml:space="preserve"> </w:t>
      </w:r>
      <w:r w:rsidRPr="005E7DD1">
        <w:rPr>
          <w:rFonts w:asciiTheme="minorHAnsi" w:hAnsiTheme="minorHAnsi" w:cstheme="minorHAnsi"/>
        </w:rPr>
        <w:t>Temporary cannabis events, such as at a local fair or festival, serve not only to normalize cannabis use but may also work to undermine smoke-free air laws</w:t>
      </w:r>
      <w:r w:rsidR="001614BF">
        <w:rPr>
          <w:rFonts w:asciiTheme="minorHAnsi" w:hAnsiTheme="minorHAnsi" w:cstheme="minorHAnsi"/>
        </w:rPr>
        <w:t>, such as those banning smoking in parks and public places</w:t>
      </w:r>
      <w:r w:rsidRPr="005E7DD1">
        <w:rPr>
          <w:rFonts w:asciiTheme="minorHAnsi" w:hAnsiTheme="minorHAnsi" w:cstheme="minorHAnsi"/>
        </w:rPr>
        <w:t xml:space="preserve">. </w:t>
      </w:r>
      <w:r w:rsidR="001614BF">
        <w:rPr>
          <w:rFonts w:asciiTheme="minorHAnsi" w:hAnsiTheme="minorHAnsi" w:cstheme="minorHAnsi"/>
        </w:rPr>
        <w:t>In the past</w:t>
      </w:r>
      <w:r w:rsidR="00DA2171" w:rsidRPr="005E7DD1">
        <w:rPr>
          <w:rFonts w:asciiTheme="minorHAnsi" w:hAnsiTheme="minorHAnsi" w:cstheme="minorHAnsi"/>
        </w:rPr>
        <w:t>, “tobacco events” served as excellent avenues for the industry to “</w:t>
      </w:r>
      <w:r w:rsidR="00DA2171" w:rsidRPr="005E7DD1">
        <w:rPr>
          <w:rFonts w:asciiTheme="minorHAnsi" w:hAnsiTheme="minorHAnsi" w:cstheme="minorHAnsi"/>
          <w:color w:val="000000"/>
          <w:shd w:val="clear" w:color="auto" w:fill="FFFFFF"/>
        </w:rPr>
        <w:t>reinforce brand visibility, allow the industry to reach specific target groups, and generate names for future marketing efforts.”</w:t>
      </w:r>
      <w:r w:rsidR="00DA2171" w:rsidRPr="005E7DD1">
        <w:rPr>
          <w:rStyle w:val="FootnoteReference"/>
          <w:rFonts w:asciiTheme="minorHAnsi" w:hAnsiTheme="minorHAnsi" w:cstheme="minorHAnsi"/>
          <w:color w:val="000000"/>
          <w:shd w:val="clear" w:color="auto" w:fill="FFFFFF"/>
        </w:rPr>
        <w:footnoteReference w:id="90"/>
      </w:r>
      <w:r w:rsidR="00DA2171" w:rsidRPr="005E7DD1">
        <w:rPr>
          <w:rFonts w:asciiTheme="minorHAnsi" w:hAnsiTheme="minorHAnsi" w:cstheme="minorHAnsi"/>
          <w:color w:val="000000"/>
          <w:shd w:val="clear" w:color="auto" w:fill="FFFFFF"/>
        </w:rPr>
        <w:t xml:space="preserve"> Tobacco promotions at </w:t>
      </w:r>
      <w:r w:rsidR="001614BF">
        <w:rPr>
          <w:rFonts w:asciiTheme="minorHAnsi" w:hAnsiTheme="minorHAnsi" w:cstheme="minorHAnsi"/>
          <w:color w:val="000000"/>
          <w:shd w:val="clear" w:color="auto" w:fill="FFFFFF"/>
        </w:rPr>
        <w:t xml:space="preserve">sporting and </w:t>
      </w:r>
      <w:r w:rsidR="00DA2171" w:rsidRPr="005E7DD1">
        <w:rPr>
          <w:rFonts w:asciiTheme="minorHAnsi" w:hAnsiTheme="minorHAnsi" w:cstheme="minorHAnsi"/>
          <w:color w:val="000000"/>
          <w:shd w:val="clear" w:color="auto" w:fill="FFFFFF"/>
        </w:rPr>
        <w:t xml:space="preserve">social events encourage non-smokers to try smoking, occasional users to become regular users, and discourage current smokers form quitting. </w:t>
      </w:r>
      <w:r w:rsidR="001614BF">
        <w:rPr>
          <w:rFonts w:asciiTheme="minorHAnsi" w:hAnsiTheme="minorHAnsi" w:cstheme="minorHAnsi"/>
          <w:color w:val="000000"/>
          <w:shd w:val="clear" w:color="auto" w:fill="FFFFFF"/>
        </w:rPr>
        <w:t>By opening fairs, parks or concerts to the presence of cannabis events, children and adolescents</w:t>
      </w:r>
      <w:r w:rsidR="003B6C8F">
        <w:rPr>
          <w:rFonts w:asciiTheme="minorHAnsi" w:hAnsiTheme="minorHAnsi" w:cstheme="minorHAnsi"/>
          <w:color w:val="000000"/>
          <w:shd w:val="clear" w:color="auto" w:fill="FFFFFF"/>
        </w:rPr>
        <w:t xml:space="preserve"> </w:t>
      </w:r>
      <w:r w:rsidR="001614BF">
        <w:rPr>
          <w:rFonts w:asciiTheme="minorHAnsi" w:hAnsiTheme="minorHAnsi" w:cstheme="minorHAnsi"/>
          <w:color w:val="000000"/>
          <w:shd w:val="clear" w:color="auto" w:fill="FFFFFF"/>
        </w:rPr>
        <w:t xml:space="preserve">are inevitably exposed, even when certain areas are </w:t>
      </w:r>
      <w:proofErr w:type="gramStart"/>
      <w:r w:rsidR="001614BF">
        <w:rPr>
          <w:rFonts w:asciiTheme="minorHAnsi" w:hAnsiTheme="minorHAnsi" w:cstheme="minorHAnsi"/>
          <w:color w:val="000000"/>
          <w:shd w:val="clear" w:color="auto" w:fill="FFFFFF"/>
        </w:rPr>
        <w:t>age-limited</w:t>
      </w:r>
      <w:proofErr w:type="gramEnd"/>
      <w:r w:rsidR="001614BF">
        <w:rPr>
          <w:rFonts w:asciiTheme="minorHAnsi" w:hAnsiTheme="minorHAnsi" w:cstheme="minorHAnsi"/>
          <w:color w:val="000000"/>
          <w:shd w:val="clear" w:color="auto" w:fill="FFFFFF"/>
        </w:rPr>
        <w:t xml:space="preserve">. </w:t>
      </w:r>
      <w:r w:rsidR="00DA2171" w:rsidRPr="005E7DD1">
        <w:rPr>
          <w:rFonts w:asciiTheme="minorHAnsi" w:hAnsiTheme="minorHAnsi" w:cstheme="minorHAnsi"/>
          <w:color w:val="000000"/>
          <w:shd w:val="clear" w:color="auto" w:fill="FFFFFF"/>
        </w:rPr>
        <w:t>Through temporary cannabis events, the cannabis industry can model the same tactics and practices of the tobacco industry – targeting new users to try the products and encouraging current users to continue regular use.</w:t>
      </w:r>
      <w:r w:rsidR="007A6306">
        <w:rPr>
          <w:rFonts w:asciiTheme="minorHAnsi" w:hAnsiTheme="minorHAnsi" w:cstheme="minorHAnsi"/>
          <w:color w:val="000000"/>
          <w:shd w:val="clear" w:color="auto" w:fill="FFFFFF"/>
        </w:rPr>
        <w:t xml:space="preserve"> </w:t>
      </w:r>
      <w:r w:rsidRPr="005E7DD1">
        <w:rPr>
          <w:rFonts w:asciiTheme="minorHAnsi" w:hAnsiTheme="minorHAnsi" w:cstheme="minorHAnsi"/>
        </w:rPr>
        <w:t xml:space="preserve">A jurisdiction that prohibits temporary events is awarded five points. </w:t>
      </w:r>
    </w:p>
    <w:p w14:paraId="29F13DFF" w14:textId="77777777" w:rsidR="0081626A" w:rsidRPr="005E7DD1" w:rsidRDefault="0081626A" w:rsidP="00AF4F78">
      <w:pPr>
        <w:autoSpaceDE w:val="0"/>
        <w:autoSpaceDN w:val="0"/>
        <w:adjustRightInd w:val="0"/>
        <w:rPr>
          <w:rFonts w:asciiTheme="minorHAnsi" w:hAnsiTheme="minorHAnsi" w:cstheme="minorHAnsi"/>
        </w:rPr>
      </w:pPr>
    </w:p>
    <w:p w14:paraId="6F891170" w14:textId="564C6ED8" w:rsidR="0081626A" w:rsidRPr="005E7DD1" w:rsidRDefault="00AF4F78" w:rsidP="00AF4F78">
      <w:pPr>
        <w:autoSpaceDE w:val="0"/>
        <w:autoSpaceDN w:val="0"/>
        <w:adjustRightInd w:val="0"/>
        <w:rPr>
          <w:rFonts w:asciiTheme="minorHAnsi" w:hAnsiTheme="minorHAnsi" w:cstheme="minorHAnsi"/>
          <w:b/>
          <w:color w:val="4472C4" w:themeColor="accent1"/>
        </w:rPr>
      </w:pPr>
      <w:r w:rsidRPr="005E7DD1">
        <w:rPr>
          <w:rFonts w:asciiTheme="minorHAnsi" w:hAnsiTheme="minorHAnsi" w:cstheme="minorHAnsi"/>
          <w:b/>
          <w:color w:val="4472C4" w:themeColor="accent1"/>
        </w:rPr>
        <w:t>Ban on On-Site Consumption (3 points)</w:t>
      </w:r>
    </w:p>
    <w:p w14:paraId="0F1861A3" w14:textId="5F1B1A91" w:rsidR="00AF4F78" w:rsidRPr="005E7DD1" w:rsidRDefault="00AF4F78" w:rsidP="00E74F6A">
      <w:pPr>
        <w:autoSpaceDE w:val="0"/>
        <w:autoSpaceDN w:val="0"/>
        <w:adjustRightInd w:val="0"/>
        <w:jc w:val="both"/>
        <w:rPr>
          <w:rFonts w:asciiTheme="minorHAnsi" w:hAnsiTheme="minorHAnsi" w:cstheme="minorHAnsi"/>
          <w:color w:val="000000" w:themeColor="text1"/>
        </w:rPr>
      </w:pPr>
      <w:r w:rsidRPr="005E7DD1">
        <w:rPr>
          <w:rFonts w:asciiTheme="minorHAnsi" w:hAnsiTheme="minorHAnsi" w:cstheme="minorHAnsi"/>
          <w:b/>
          <w:color w:val="000000" w:themeColor="text1"/>
        </w:rPr>
        <w:t>Description</w:t>
      </w:r>
      <w:r w:rsidR="0081626A" w:rsidRPr="005E7DD1">
        <w:rPr>
          <w:rFonts w:asciiTheme="minorHAnsi" w:hAnsiTheme="minorHAnsi" w:cstheme="minorHAnsi"/>
          <w:b/>
          <w:color w:val="000000" w:themeColor="text1"/>
        </w:rPr>
        <w:t xml:space="preserve">: </w:t>
      </w:r>
      <w:r w:rsidR="0081626A" w:rsidRPr="005E7DD1">
        <w:rPr>
          <w:rFonts w:asciiTheme="minorHAnsi" w:hAnsiTheme="minorHAnsi" w:cstheme="minorHAnsi"/>
          <w:color w:val="000000" w:themeColor="text1"/>
        </w:rPr>
        <w:t>Prohibition on on</w:t>
      </w:r>
      <w:r w:rsidR="0017130F">
        <w:rPr>
          <w:rFonts w:asciiTheme="minorHAnsi" w:hAnsiTheme="minorHAnsi" w:cstheme="minorHAnsi"/>
          <w:color w:val="000000" w:themeColor="text1"/>
        </w:rPr>
        <w:t>-</w:t>
      </w:r>
      <w:r w:rsidR="0081626A" w:rsidRPr="005E7DD1">
        <w:rPr>
          <w:rFonts w:asciiTheme="minorHAnsi" w:hAnsiTheme="minorHAnsi" w:cstheme="minorHAnsi"/>
          <w:color w:val="000000" w:themeColor="text1"/>
        </w:rPr>
        <w:t xml:space="preserve">site consumption, whether by inhalation, vaporization or consumption of edibles. </w:t>
      </w:r>
    </w:p>
    <w:p w14:paraId="54F97382" w14:textId="77777777" w:rsidR="0081626A" w:rsidRPr="005E7DD1" w:rsidRDefault="0081626A" w:rsidP="00E74F6A">
      <w:pPr>
        <w:autoSpaceDE w:val="0"/>
        <w:autoSpaceDN w:val="0"/>
        <w:adjustRightInd w:val="0"/>
        <w:jc w:val="both"/>
        <w:rPr>
          <w:rFonts w:asciiTheme="minorHAnsi" w:hAnsiTheme="minorHAnsi" w:cstheme="minorHAnsi"/>
          <w:color w:val="000000" w:themeColor="text1"/>
        </w:rPr>
      </w:pPr>
    </w:p>
    <w:p w14:paraId="3AFDB43D" w14:textId="3312462E" w:rsidR="0081626A" w:rsidRPr="005E7DD1" w:rsidRDefault="00AF4F78" w:rsidP="00E74F6A">
      <w:pPr>
        <w:pStyle w:val="NormalWeb"/>
        <w:shd w:val="clear" w:color="auto" w:fill="FFFFFF"/>
        <w:spacing w:before="0" w:beforeAutospacing="0" w:after="0" w:afterAutospacing="0"/>
        <w:jc w:val="both"/>
        <w:textAlignment w:val="baseline"/>
        <w:rPr>
          <w:rFonts w:asciiTheme="minorHAnsi" w:hAnsiTheme="minorHAnsi" w:cstheme="minorHAnsi"/>
          <w:color w:val="333333"/>
        </w:rPr>
      </w:pPr>
      <w:r w:rsidRPr="005E7DD1">
        <w:rPr>
          <w:rFonts w:asciiTheme="minorHAnsi" w:hAnsiTheme="minorHAnsi" w:cstheme="minorHAnsi"/>
          <w:b/>
          <w:color w:val="000000" w:themeColor="text1"/>
        </w:rPr>
        <w:t>State Law</w:t>
      </w:r>
      <w:r w:rsidR="0081626A" w:rsidRPr="005E7DD1">
        <w:rPr>
          <w:rFonts w:asciiTheme="minorHAnsi" w:hAnsiTheme="minorHAnsi" w:cstheme="minorHAnsi"/>
          <w:b/>
          <w:color w:val="000000" w:themeColor="text1"/>
        </w:rPr>
        <w:t xml:space="preserve">: </w:t>
      </w:r>
      <w:r w:rsidR="0081626A" w:rsidRPr="005E7DD1">
        <w:rPr>
          <w:rFonts w:asciiTheme="minorHAnsi" w:hAnsiTheme="minorHAnsi" w:cstheme="minorHAnsi"/>
          <w:color w:val="000000" w:themeColor="text1"/>
        </w:rPr>
        <w:t>A local jurisdiction may allow for smoking, vaporizing and ingesting of cannabis or cannabis products on the premises of a retailer so long as the area is restricted to persons over age 21, consumption is not visible from public spaces and the sale or consumption of alcohol and tobacco is not permitted on premises.</w:t>
      </w:r>
      <w:r w:rsidR="0081626A" w:rsidRPr="005E7DD1">
        <w:rPr>
          <w:rStyle w:val="FootnoteReference"/>
          <w:rFonts w:asciiTheme="minorHAnsi" w:hAnsiTheme="minorHAnsi" w:cstheme="minorHAnsi"/>
          <w:color w:val="000000" w:themeColor="text1"/>
        </w:rPr>
        <w:footnoteReference w:id="91"/>
      </w:r>
      <w:r w:rsidR="0081626A" w:rsidRPr="005E7DD1">
        <w:rPr>
          <w:rFonts w:asciiTheme="minorHAnsi" w:hAnsiTheme="minorHAnsi" w:cstheme="minorHAnsi"/>
          <w:color w:val="000000" w:themeColor="text1"/>
        </w:rPr>
        <w:t xml:space="preserve"> </w:t>
      </w:r>
      <w:r w:rsidR="0017130F">
        <w:rPr>
          <w:rFonts w:asciiTheme="minorHAnsi" w:hAnsiTheme="minorHAnsi" w:cstheme="minorHAnsi"/>
          <w:color w:val="000000" w:themeColor="text1"/>
        </w:rPr>
        <w:t>Score: 0.</w:t>
      </w:r>
    </w:p>
    <w:p w14:paraId="71F4E0EC" w14:textId="5385C174" w:rsidR="0081626A" w:rsidRPr="005E7DD1" w:rsidRDefault="0081626A" w:rsidP="00E74F6A">
      <w:pPr>
        <w:autoSpaceDE w:val="0"/>
        <w:autoSpaceDN w:val="0"/>
        <w:adjustRightInd w:val="0"/>
        <w:jc w:val="both"/>
        <w:rPr>
          <w:rFonts w:asciiTheme="minorHAnsi" w:hAnsiTheme="minorHAnsi" w:cstheme="minorHAnsi"/>
          <w:b/>
          <w:color w:val="000000" w:themeColor="text1"/>
        </w:rPr>
      </w:pPr>
    </w:p>
    <w:p w14:paraId="09933ED8" w14:textId="20EC9C23" w:rsidR="00AF4F78" w:rsidRPr="005E7DD1" w:rsidRDefault="00AF4F78" w:rsidP="00E74F6A">
      <w:pPr>
        <w:autoSpaceDE w:val="0"/>
        <w:autoSpaceDN w:val="0"/>
        <w:adjustRightInd w:val="0"/>
        <w:jc w:val="both"/>
        <w:rPr>
          <w:rFonts w:asciiTheme="minorHAnsi" w:hAnsiTheme="minorHAnsi" w:cstheme="minorHAnsi"/>
          <w:b/>
          <w:color w:val="000000" w:themeColor="text1"/>
        </w:rPr>
      </w:pPr>
      <w:r w:rsidRPr="005E7DD1">
        <w:rPr>
          <w:rFonts w:asciiTheme="minorHAnsi" w:hAnsiTheme="minorHAnsi" w:cstheme="minorHAnsi"/>
          <w:b/>
          <w:color w:val="000000" w:themeColor="text1"/>
        </w:rPr>
        <w:t>Rationale</w:t>
      </w:r>
      <w:r w:rsidR="0081626A" w:rsidRPr="005E7DD1">
        <w:rPr>
          <w:rFonts w:asciiTheme="minorHAnsi" w:hAnsiTheme="minorHAnsi" w:cstheme="minorHAnsi"/>
          <w:b/>
          <w:color w:val="000000" w:themeColor="text1"/>
        </w:rPr>
        <w:t xml:space="preserve"> &amp; Points</w:t>
      </w:r>
      <w:r w:rsidRPr="005E7DD1">
        <w:rPr>
          <w:rFonts w:asciiTheme="minorHAnsi" w:hAnsiTheme="minorHAnsi" w:cstheme="minorHAnsi"/>
          <w:b/>
          <w:color w:val="000000" w:themeColor="text1"/>
        </w:rPr>
        <w:t xml:space="preserve">: </w:t>
      </w:r>
      <w:r w:rsidR="00E56061" w:rsidRPr="005E7DD1">
        <w:rPr>
          <w:rFonts w:asciiTheme="minorHAnsi" w:hAnsiTheme="minorHAnsi" w:cstheme="minorHAnsi"/>
        </w:rPr>
        <w:t>For years the tobacco industry utilized social gatherings such as at bars and clubs to promote smoking among young adults.</w:t>
      </w:r>
      <w:r w:rsidR="00E56061">
        <w:rPr>
          <w:rFonts w:asciiTheme="minorHAnsi" w:hAnsiTheme="minorHAnsi" w:cstheme="minorHAnsi"/>
        </w:rPr>
        <w:t xml:space="preserve"> </w:t>
      </w:r>
      <w:r w:rsidR="00E56061" w:rsidRPr="005E7DD1">
        <w:rPr>
          <w:rFonts w:asciiTheme="minorHAnsi" w:hAnsiTheme="minorHAnsi" w:cstheme="minorHAnsi"/>
        </w:rPr>
        <w:t>Such tobacco events normalized smoking in these places and made it part of the “experience” in these settings.</w:t>
      </w:r>
      <w:r w:rsidR="00E56061" w:rsidRPr="005E7DD1">
        <w:rPr>
          <w:rStyle w:val="FootnoteReference"/>
          <w:rFonts w:asciiTheme="minorHAnsi" w:hAnsiTheme="minorHAnsi" w:cstheme="minorHAnsi"/>
        </w:rPr>
        <w:footnoteReference w:id="92"/>
      </w:r>
      <w:r w:rsidR="00E56061">
        <w:rPr>
          <w:rFonts w:asciiTheme="minorHAnsi" w:hAnsiTheme="minorHAnsi" w:cstheme="minorHAnsi"/>
        </w:rPr>
        <w:t xml:space="preserve"> </w:t>
      </w:r>
      <w:r w:rsidRPr="005E7DD1">
        <w:rPr>
          <w:rFonts w:asciiTheme="minorHAnsi" w:hAnsiTheme="minorHAnsi" w:cstheme="minorHAnsi"/>
        </w:rPr>
        <w:t>It took hundreds of years to get rid of smoky bars and restaurants and</w:t>
      </w:r>
      <w:r w:rsidR="0081626A" w:rsidRPr="005E7DD1">
        <w:rPr>
          <w:rFonts w:asciiTheme="minorHAnsi" w:hAnsiTheme="minorHAnsi" w:cstheme="minorHAnsi"/>
        </w:rPr>
        <w:t xml:space="preserve"> the perception that </w:t>
      </w:r>
      <w:r w:rsidRPr="005E7DD1">
        <w:rPr>
          <w:rFonts w:asciiTheme="minorHAnsi" w:hAnsiTheme="minorHAnsi" w:cstheme="minorHAnsi"/>
        </w:rPr>
        <w:t>this was normal and socially desirable.</w:t>
      </w:r>
      <w:r w:rsidR="009D3804">
        <w:rPr>
          <w:rFonts w:asciiTheme="minorHAnsi" w:hAnsiTheme="minorHAnsi" w:cstheme="minorHAnsi"/>
        </w:rPr>
        <w:t xml:space="preserve"> Smoke-Free Air laws have been extremely successful in reducing tobacco exposure and </w:t>
      </w:r>
      <w:r w:rsidR="009D3804">
        <w:rPr>
          <w:rFonts w:asciiTheme="minorHAnsi" w:hAnsiTheme="minorHAnsi" w:cstheme="minorHAnsi"/>
        </w:rPr>
        <w:lastRenderedPageBreak/>
        <w:t>consumption</w:t>
      </w:r>
      <w:r w:rsidR="009D3804" w:rsidRPr="00E56061">
        <w:rPr>
          <w:rStyle w:val="FootnoteReference"/>
          <w:rFonts w:asciiTheme="minorHAnsi" w:hAnsiTheme="minorHAnsi" w:cs="Calibri (Body)"/>
        </w:rPr>
        <w:footnoteReference w:id="93"/>
      </w:r>
      <w:r w:rsidR="00E56061" w:rsidRPr="008C70EE">
        <w:rPr>
          <w:rFonts w:asciiTheme="minorHAnsi" w:hAnsiTheme="minorHAnsi" w:cs="Calibri (Body)"/>
          <w:vertAlign w:val="superscript"/>
        </w:rPr>
        <w:t>,</w:t>
      </w:r>
      <w:r w:rsidR="009D3804" w:rsidRPr="00E56061">
        <w:rPr>
          <w:rStyle w:val="FootnoteReference"/>
          <w:rFonts w:asciiTheme="minorHAnsi" w:hAnsiTheme="minorHAnsi" w:cs="Calibri (Body)"/>
        </w:rPr>
        <w:footnoteReference w:id="94"/>
      </w:r>
      <w:r w:rsidR="00E56061" w:rsidRPr="008C70EE">
        <w:rPr>
          <w:rFonts w:asciiTheme="minorHAnsi" w:hAnsiTheme="minorHAnsi" w:cs="Calibri (Body)"/>
          <w:vertAlign w:val="superscript"/>
        </w:rPr>
        <w:t>,</w:t>
      </w:r>
      <w:r w:rsidR="009D3804">
        <w:rPr>
          <w:rStyle w:val="FootnoteReference"/>
          <w:rFonts w:asciiTheme="minorHAnsi" w:hAnsiTheme="minorHAnsi" w:cstheme="minorHAnsi"/>
        </w:rPr>
        <w:footnoteReference w:id="95"/>
      </w:r>
      <w:r w:rsidR="00E56061">
        <w:rPr>
          <w:rFonts w:asciiTheme="minorHAnsi" w:hAnsiTheme="minorHAnsi" w:cs="Calibri (Body)"/>
          <w:vertAlign w:val="superscript"/>
        </w:rPr>
        <w:t xml:space="preserve"> </w:t>
      </w:r>
      <w:r w:rsidR="009D3804">
        <w:rPr>
          <w:rFonts w:asciiTheme="minorHAnsi" w:hAnsiTheme="minorHAnsi" w:cstheme="minorHAnsi"/>
        </w:rPr>
        <w:t>and should not be undermined by allowing cannabis smoke exposure.</w:t>
      </w:r>
      <w:r w:rsidRPr="005E7DD1">
        <w:rPr>
          <w:rFonts w:asciiTheme="minorHAnsi" w:hAnsiTheme="minorHAnsi" w:cstheme="minorHAnsi"/>
        </w:rPr>
        <w:t xml:space="preserve"> Going back to permitting on-site </w:t>
      </w:r>
      <w:r w:rsidR="001614BF">
        <w:rPr>
          <w:rFonts w:asciiTheme="minorHAnsi" w:hAnsiTheme="minorHAnsi" w:cstheme="minorHAnsi"/>
        </w:rPr>
        <w:t xml:space="preserve">smoking or vaping of cannabis products </w:t>
      </w:r>
      <w:r w:rsidRPr="005E7DD1">
        <w:rPr>
          <w:rFonts w:asciiTheme="minorHAnsi" w:hAnsiTheme="minorHAnsi" w:cstheme="minorHAnsi"/>
        </w:rPr>
        <w:t>undoes that effort</w:t>
      </w:r>
      <w:r w:rsidR="0081626A" w:rsidRPr="005E7DD1">
        <w:rPr>
          <w:rFonts w:asciiTheme="minorHAnsi" w:hAnsiTheme="minorHAnsi" w:cstheme="minorHAnsi"/>
        </w:rPr>
        <w:t xml:space="preserve">. It also </w:t>
      </w:r>
      <w:r w:rsidRPr="005E7DD1">
        <w:rPr>
          <w:rFonts w:asciiTheme="minorHAnsi" w:hAnsiTheme="minorHAnsi" w:cstheme="minorHAnsi"/>
        </w:rPr>
        <w:t>expos</w:t>
      </w:r>
      <w:r w:rsidR="0081626A" w:rsidRPr="005E7DD1">
        <w:rPr>
          <w:rFonts w:asciiTheme="minorHAnsi" w:hAnsiTheme="minorHAnsi" w:cstheme="minorHAnsi"/>
        </w:rPr>
        <w:t>es</w:t>
      </w:r>
      <w:r w:rsidRPr="005E7DD1">
        <w:rPr>
          <w:rFonts w:asciiTheme="minorHAnsi" w:hAnsiTheme="minorHAnsi" w:cstheme="minorHAnsi"/>
        </w:rPr>
        <w:t xml:space="preserve"> workers to harmful second-hand smoke, even if from vaping. </w:t>
      </w:r>
      <w:r w:rsidR="0081626A" w:rsidRPr="005E7DD1">
        <w:rPr>
          <w:rFonts w:asciiTheme="minorHAnsi" w:hAnsiTheme="minorHAnsi" w:cstheme="minorHAnsi"/>
        </w:rPr>
        <w:t>This is because, v</w:t>
      </w:r>
      <w:r w:rsidRPr="005E7DD1">
        <w:rPr>
          <w:rFonts w:asciiTheme="minorHAnsi" w:hAnsiTheme="minorHAnsi" w:cstheme="minorHAnsi"/>
        </w:rPr>
        <w:t xml:space="preserve">aping, like smoking, produces harmful second-hand smoke components. New research </w:t>
      </w:r>
      <w:r w:rsidR="0081626A" w:rsidRPr="005E7DD1">
        <w:rPr>
          <w:rFonts w:asciiTheme="minorHAnsi" w:hAnsiTheme="minorHAnsi" w:cstheme="minorHAnsi"/>
        </w:rPr>
        <w:t>shows</w:t>
      </w:r>
      <w:r w:rsidRPr="005E7DD1">
        <w:rPr>
          <w:rFonts w:asciiTheme="minorHAnsi" w:hAnsiTheme="minorHAnsi" w:cstheme="minorHAnsi"/>
        </w:rPr>
        <w:t xml:space="preserve"> </w:t>
      </w:r>
      <w:r w:rsidR="0081626A" w:rsidRPr="005E7DD1">
        <w:rPr>
          <w:rFonts w:asciiTheme="minorHAnsi" w:hAnsiTheme="minorHAnsi" w:cstheme="minorHAnsi"/>
        </w:rPr>
        <w:t>that v</w:t>
      </w:r>
      <w:r w:rsidRPr="005E7DD1">
        <w:rPr>
          <w:rFonts w:asciiTheme="minorHAnsi" w:hAnsiTheme="minorHAnsi" w:cstheme="minorHAnsi"/>
        </w:rPr>
        <w:t>aping smoke exacerbates asthma similarly to regular smoke. Research from San Francisco in a lounge which</w:t>
      </w:r>
      <w:r w:rsidR="007A6306">
        <w:rPr>
          <w:rFonts w:asciiTheme="minorHAnsi" w:hAnsiTheme="minorHAnsi" w:cstheme="minorHAnsi"/>
        </w:rPr>
        <w:t xml:space="preserve"> </w:t>
      </w:r>
      <w:r w:rsidRPr="005E7DD1">
        <w:rPr>
          <w:rFonts w:asciiTheme="minorHAnsi" w:hAnsiTheme="minorHAnsi" w:cstheme="minorHAnsi"/>
        </w:rPr>
        <w:t>allowed only</w:t>
      </w:r>
      <w:r w:rsidR="007A6306">
        <w:rPr>
          <w:rFonts w:asciiTheme="minorHAnsi" w:hAnsiTheme="minorHAnsi" w:cstheme="minorHAnsi"/>
        </w:rPr>
        <w:t xml:space="preserve"> </w:t>
      </w:r>
      <w:r w:rsidRPr="005E7DD1">
        <w:rPr>
          <w:rFonts w:asciiTheme="minorHAnsi" w:hAnsiTheme="minorHAnsi" w:cstheme="minorHAnsi"/>
        </w:rPr>
        <w:t>vaping and dabbing found average particulate matter was 564 ug/m3.</w:t>
      </w:r>
      <w:r w:rsidR="007A6306">
        <w:rPr>
          <w:rFonts w:asciiTheme="minorHAnsi" w:hAnsiTheme="minorHAnsi" w:cstheme="minorHAnsi"/>
        </w:rPr>
        <w:t xml:space="preserve"> </w:t>
      </w:r>
      <w:r w:rsidRPr="005E7DD1">
        <w:rPr>
          <w:rFonts w:asciiTheme="minorHAnsi" w:hAnsiTheme="minorHAnsi" w:cstheme="minorHAnsi"/>
        </w:rPr>
        <w:t>The EPA says it should not be over 35.</w:t>
      </w:r>
      <w:r w:rsidRPr="005E7DD1">
        <w:rPr>
          <w:rStyle w:val="FootnoteReference"/>
          <w:rFonts w:asciiTheme="minorHAnsi" w:hAnsiTheme="minorHAnsi" w:cstheme="minorHAnsi"/>
        </w:rPr>
        <w:footnoteReference w:id="96"/>
      </w:r>
      <w:r w:rsidR="00F94D7B">
        <w:rPr>
          <w:rFonts w:asciiTheme="minorHAnsi" w:hAnsiTheme="minorHAnsi" w:cstheme="minorHAnsi"/>
        </w:rPr>
        <w:t xml:space="preserve"> </w:t>
      </w:r>
      <w:r w:rsidR="0081626A" w:rsidRPr="005E7DD1">
        <w:rPr>
          <w:rFonts w:asciiTheme="minorHAnsi" w:hAnsiTheme="minorHAnsi" w:cstheme="minorHAnsi"/>
        </w:rPr>
        <w:t>For this reason, jurisdictions that ban on</w:t>
      </w:r>
      <w:r w:rsidR="0017130F">
        <w:rPr>
          <w:rFonts w:asciiTheme="minorHAnsi" w:hAnsiTheme="minorHAnsi" w:cstheme="minorHAnsi"/>
        </w:rPr>
        <w:t>-</w:t>
      </w:r>
      <w:r w:rsidR="0081626A" w:rsidRPr="005E7DD1">
        <w:rPr>
          <w:rFonts w:asciiTheme="minorHAnsi" w:hAnsiTheme="minorHAnsi" w:cstheme="minorHAnsi"/>
        </w:rPr>
        <w:t xml:space="preserve">site consumption are awarded three points. </w:t>
      </w:r>
    </w:p>
    <w:p w14:paraId="7CFF8D14" w14:textId="72D43AA3" w:rsidR="00747A79" w:rsidRPr="005E7DD1" w:rsidRDefault="00747A79" w:rsidP="00DE1E77">
      <w:pPr>
        <w:rPr>
          <w:rFonts w:asciiTheme="minorHAnsi" w:hAnsiTheme="minorHAnsi" w:cstheme="minorHAnsi"/>
          <w:b/>
        </w:rPr>
      </w:pPr>
    </w:p>
    <w:p w14:paraId="2644E96A" w14:textId="6211ECA0" w:rsidR="001B780A" w:rsidRPr="00C21A9A" w:rsidRDefault="00AF4F78" w:rsidP="00DE1E77">
      <w:pPr>
        <w:rPr>
          <w:rFonts w:asciiTheme="minorHAnsi" w:hAnsiTheme="minorHAnsi" w:cstheme="minorHAnsi"/>
          <w:b/>
          <w:color w:val="4472C4" w:themeColor="accent1"/>
        </w:rPr>
      </w:pPr>
      <w:r w:rsidRPr="005E7DD1">
        <w:rPr>
          <w:rFonts w:asciiTheme="minorHAnsi" w:hAnsiTheme="minorHAnsi" w:cstheme="minorHAnsi"/>
          <w:b/>
          <w:color w:val="4472C4" w:themeColor="accent1"/>
        </w:rPr>
        <w:t>CATEGORY SIX: EQUITY IN BUSINESS OPPORTUNITY</w:t>
      </w:r>
      <w:r w:rsidR="009B5A94">
        <w:rPr>
          <w:rFonts w:asciiTheme="minorHAnsi" w:hAnsiTheme="minorHAnsi" w:cstheme="minorHAnsi"/>
          <w:b/>
          <w:color w:val="4472C4" w:themeColor="accent1"/>
        </w:rPr>
        <w:t xml:space="preserve"> AND PREVENTION OF CONFLICTS OF INTEREST</w:t>
      </w:r>
    </w:p>
    <w:p w14:paraId="28B98244" w14:textId="46367050" w:rsidR="00DA2171" w:rsidRPr="008C70EE" w:rsidRDefault="001B780A" w:rsidP="003B6C8F">
      <w:pPr>
        <w:jc w:val="both"/>
        <w:rPr>
          <w:rFonts w:ascii="Calibri" w:hAnsi="Calibri" w:cs="Calibri"/>
        </w:rPr>
      </w:pPr>
      <w:r w:rsidRPr="005E7DD1">
        <w:rPr>
          <w:rFonts w:asciiTheme="minorHAnsi" w:hAnsiTheme="minorHAnsi" w:cstheme="minorHAnsi"/>
        </w:rPr>
        <w:t>When Proposition 64 was passed</w:t>
      </w:r>
      <w:r w:rsidR="0017130F">
        <w:rPr>
          <w:rFonts w:asciiTheme="minorHAnsi" w:hAnsiTheme="minorHAnsi" w:cstheme="minorHAnsi"/>
        </w:rPr>
        <w:t>,</w:t>
      </w:r>
      <w:r w:rsidRPr="005E7DD1">
        <w:rPr>
          <w:rFonts w:asciiTheme="minorHAnsi" w:hAnsiTheme="minorHAnsi" w:cstheme="minorHAnsi"/>
        </w:rPr>
        <w:t xml:space="preserve"> legalizing </w:t>
      </w:r>
      <w:r w:rsidR="003B6FA7">
        <w:rPr>
          <w:rFonts w:asciiTheme="minorHAnsi" w:hAnsiTheme="minorHAnsi" w:cstheme="minorHAnsi"/>
        </w:rPr>
        <w:t>adult-use</w:t>
      </w:r>
      <w:r w:rsidRPr="005E7DD1">
        <w:rPr>
          <w:rFonts w:asciiTheme="minorHAnsi" w:hAnsiTheme="minorHAnsi" w:cstheme="minorHAnsi"/>
        </w:rPr>
        <w:t xml:space="preserve"> cannabis in California, supporters cited an estimated $1 billion in </w:t>
      </w:r>
      <w:r w:rsidR="001614BF">
        <w:rPr>
          <w:rFonts w:asciiTheme="minorHAnsi" w:hAnsiTheme="minorHAnsi" w:cstheme="minorHAnsi"/>
        </w:rPr>
        <w:t xml:space="preserve">annual tax </w:t>
      </w:r>
      <w:r w:rsidRPr="005E7DD1">
        <w:rPr>
          <w:rFonts w:asciiTheme="minorHAnsi" w:hAnsiTheme="minorHAnsi" w:cstheme="minorHAnsi"/>
        </w:rPr>
        <w:t>revenues from new cannabis businesses.</w:t>
      </w:r>
      <w:r w:rsidRPr="005E7DD1">
        <w:rPr>
          <w:rStyle w:val="FootnoteReference"/>
          <w:rFonts w:asciiTheme="minorHAnsi" w:hAnsiTheme="minorHAnsi" w:cstheme="minorHAnsi"/>
        </w:rPr>
        <w:footnoteReference w:id="97"/>
      </w:r>
      <w:r w:rsidR="007A6306">
        <w:rPr>
          <w:rFonts w:asciiTheme="minorHAnsi" w:hAnsiTheme="minorHAnsi" w:cstheme="minorHAnsi"/>
        </w:rPr>
        <w:t xml:space="preserve"> </w:t>
      </w:r>
      <w:r w:rsidRPr="005E7DD1">
        <w:rPr>
          <w:rFonts w:asciiTheme="minorHAnsi" w:hAnsiTheme="minorHAnsi" w:cstheme="minorHAnsi"/>
        </w:rPr>
        <w:t xml:space="preserve">Although actual </w:t>
      </w:r>
      <w:r w:rsidR="001614BF">
        <w:rPr>
          <w:rFonts w:asciiTheme="minorHAnsi" w:hAnsiTheme="minorHAnsi" w:cstheme="minorHAnsi"/>
        </w:rPr>
        <w:t xml:space="preserve">tax </w:t>
      </w:r>
      <w:r w:rsidRPr="005E7DD1">
        <w:rPr>
          <w:rFonts w:asciiTheme="minorHAnsi" w:hAnsiTheme="minorHAnsi" w:cstheme="minorHAnsi"/>
        </w:rPr>
        <w:t xml:space="preserve">revenue has fallen short of the $1 billion mark, </w:t>
      </w:r>
      <w:r w:rsidR="001614BF">
        <w:rPr>
          <w:rFonts w:asciiTheme="minorHAnsi" w:hAnsiTheme="minorHAnsi" w:cstheme="minorHAnsi"/>
        </w:rPr>
        <w:t>the market has surpassed $ 3 billion. I</w:t>
      </w:r>
      <w:r w:rsidR="000C5EB7" w:rsidRPr="005E7DD1">
        <w:rPr>
          <w:rFonts w:asciiTheme="minorHAnsi" w:hAnsiTheme="minorHAnsi" w:cstheme="minorHAnsi"/>
        </w:rPr>
        <w:t>t is undeniable that there is significant financial benefit to be reaped by cannabis businesses in the state of California.</w:t>
      </w:r>
      <w:r w:rsidR="007A6306">
        <w:rPr>
          <w:rFonts w:asciiTheme="minorHAnsi" w:hAnsiTheme="minorHAnsi" w:cstheme="minorHAnsi"/>
        </w:rPr>
        <w:t xml:space="preserve"> </w:t>
      </w:r>
      <w:r w:rsidR="000C5EB7" w:rsidRPr="005E7DD1">
        <w:rPr>
          <w:rFonts w:asciiTheme="minorHAnsi" w:hAnsiTheme="minorHAnsi" w:cstheme="minorHAnsi"/>
        </w:rPr>
        <w:t xml:space="preserve">Historically, people of color have been disproportionately negatively affected by the war on </w:t>
      </w:r>
      <w:proofErr w:type="gramStart"/>
      <w:r w:rsidR="000C5EB7" w:rsidRPr="005E7DD1">
        <w:rPr>
          <w:rFonts w:asciiTheme="minorHAnsi" w:hAnsiTheme="minorHAnsi" w:cstheme="minorHAnsi"/>
        </w:rPr>
        <w:t>drugs, yet</w:t>
      </w:r>
      <w:proofErr w:type="gramEnd"/>
      <w:r w:rsidR="000C5EB7" w:rsidRPr="005E7DD1">
        <w:rPr>
          <w:rFonts w:asciiTheme="minorHAnsi" w:hAnsiTheme="minorHAnsi" w:cstheme="minorHAnsi"/>
        </w:rPr>
        <w:t xml:space="preserve"> are seriously underrepresented in industry.</w:t>
      </w:r>
      <w:r w:rsidR="000C5EB7" w:rsidRPr="005E7DD1">
        <w:rPr>
          <w:rStyle w:val="FootnoteReference"/>
          <w:rFonts w:asciiTheme="minorHAnsi" w:hAnsiTheme="minorHAnsi" w:cstheme="minorHAnsi"/>
        </w:rPr>
        <w:footnoteReference w:id="98"/>
      </w:r>
      <w:r w:rsidR="003B6C8F">
        <w:rPr>
          <w:rFonts w:asciiTheme="minorHAnsi" w:hAnsiTheme="minorHAnsi" w:cstheme="minorHAnsi"/>
        </w:rPr>
        <w:t xml:space="preserve"> </w:t>
      </w:r>
      <w:r w:rsidR="009B5A94">
        <w:rPr>
          <w:rFonts w:asciiTheme="minorHAnsi" w:hAnsiTheme="minorHAnsi" w:cstheme="minorHAnsi"/>
        </w:rPr>
        <w:t xml:space="preserve">A recent </w:t>
      </w:r>
      <w:r w:rsidR="009B5A94" w:rsidRPr="008C70EE">
        <w:rPr>
          <w:rFonts w:ascii="Calibri" w:hAnsi="Calibri" w:cs="Calibri"/>
        </w:rPr>
        <w:t>analysis of marijuana-related</w:t>
      </w:r>
      <w:r w:rsidR="003B6C8F">
        <w:rPr>
          <w:rFonts w:ascii="Calibri" w:hAnsi="Calibri" w:cs="Calibri"/>
        </w:rPr>
        <w:t xml:space="preserve"> </w:t>
      </w:r>
      <w:r w:rsidR="009B5A94" w:rsidRPr="008C70EE">
        <w:rPr>
          <w:rFonts w:ascii="Calibri" w:hAnsi="Calibri" w:cs="Calibri"/>
        </w:rPr>
        <w:t xml:space="preserve">arrests in California through 2016 </w:t>
      </w:r>
      <w:r w:rsidR="001614BF" w:rsidRPr="008C70EE">
        <w:rPr>
          <w:rFonts w:ascii="Calibri" w:hAnsi="Calibri" w:cs="Calibri"/>
        </w:rPr>
        <w:t>reveal</w:t>
      </w:r>
      <w:r w:rsidR="009B5A94" w:rsidRPr="008C70EE">
        <w:rPr>
          <w:rFonts w:ascii="Calibri" w:hAnsi="Calibri" w:cs="Calibri"/>
        </w:rPr>
        <w:t>ed</w:t>
      </w:r>
      <w:r w:rsidR="001614BF" w:rsidRPr="008C70EE">
        <w:rPr>
          <w:rFonts w:ascii="Calibri" w:hAnsi="Calibri" w:cs="Calibri"/>
        </w:rPr>
        <w:t xml:space="preserve"> dramatic </w:t>
      </w:r>
      <w:proofErr w:type="spellStart"/>
      <w:r w:rsidR="009B5A94">
        <w:rPr>
          <w:rFonts w:ascii="Calibri" w:hAnsi="Calibri" w:cs="Calibri"/>
        </w:rPr>
        <w:t>disaprities</w:t>
      </w:r>
      <w:proofErr w:type="spellEnd"/>
      <w:r w:rsidR="009B5A94">
        <w:rPr>
          <w:rFonts w:ascii="Calibri" w:hAnsi="Calibri" w:cs="Calibri"/>
        </w:rPr>
        <w:t xml:space="preserve"> in </w:t>
      </w:r>
      <w:r w:rsidR="001614BF" w:rsidRPr="008C70EE">
        <w:rPr>
          <w:rFonts w:ascii="Calibri" w:hAnsi="Calibri" w:cs="Calibri"/>
        </w:rPr>
        <w:t>arrest rates of black and white people. Statewide, black people were arrested four times more often as white people for marijuana offenses, with black arrest rates nearly 30 times higher in some communities.</w:t>
      </w:r>
      <w:r w:rsidR="008C70EE">
        <w:rPr>
          <w:rStyle w:val="FootnoteReference"/>
          <w:rFonts w:ascii="Calibri" w:hAnsi="Calibri" w:cs="Calibri"/>
        </w:rPr>
        <w:footnoteReference w:id="99"/>
      </w:r>
      <w:r w:rsidR="001614BF" w:rsidRPr="008C70EE">
        <w:rPr>
          <w:rFonts w:ascii="Calibri" w:hAnsi="Calibri" w:cs="Calibri"/>
        </w:rPr>
        <w:t xml:space="preserve"> </w:t>
      </w:r>
      <w:r w:rsidR="009B5A94">
        <w:rPr>
          <w:rFonts w:asciiTheme="minorHAnsi" w:hAnsiTheme="minorHAnsi" w:cstheme="minorHAnsi"/>
        </w:rPr>
        <w:t>T</w:t>
      </w:r>
      <w:r w:rsidR="000C5EB7" w:rsidRPr="005E7DD1">
        <w:rPr>
          <w:rFonts w:asciiTheme="minorHAnsi" w:hAnsiTheme="minorHAnsi" w:cstheme="minorHAnsi"/>
        </w:rPr>
        <w:t xml:space="preserve">hose neighborhoods and communities that were most negatively affected by </w:t>
      </w:r>
      <w:r w:rsidR="009B5A94">
        <w:rPr>
          <w:rFonts w:asciiTheme="minorHAnsi" w:hAnsiTheme="minorHAnsi" w:cstheme="minorHAnsi"/>
        </w:rPr>
        <w:t xml:space="preserve">discriminatory </w:t>
      </w:r>
      <w:r w:rsidR="000C5EB7" w:rsidRPr="005E7DD1">
        <w:rPr>
          <w:rFonts w:asciiTheme="minorHAnsi" w:hAnsiTheme="minorHAnsi" w:cstheme="minorHAnsi"/>
        </w:rPr>
        <w:t xml:space="preserve">cannabis-related incarcerations should be benefiting from local cannabis tax revenue through reinvestment, social equity programs, and health prevention and wellness programs. In </w:t>
      </w:r>
      <w:r w:rsidR="009B5A94">
        <w:rPr>
          <w:rFonts w:asciiTheme="minorHAnsi" w:hAnsiTheme="minorHAnsi" w:cstheme="minorHAnsi"/>
        </w:rPr>
        <w:t xml:space="preserve">addition, </w:t>
      </w:r>
      <w:r w:rsidR="000C5EB7" w:rsidRPr="005E7DD1">
        <w:rPr>
          <w:rFonts w:asciiTheme="minorHAnsi" w:hAnsiTheme="minorHAnsi" w:cstheme="minorHAnsi"/>
        </w:rPr>
        <w:t xml:space="preserve">order to ensure that these communities and individuals reap the benefit of cannabis legalization, the implementation of equity </w:t>
      </w:r>
      <w:r w:rsidR="004325F9">
        <w:rPr>
          <w:rFonts w:asciiTheme="minorHAnsi" w:hAnsiTheme="minorHAnsi" w:cstheme="minorHAnsi"/>
        </w:rPr>
        <w:t xml:space="preserve">provisions </w:t>
      </w:r>
      <w:r w:rsidR="000C5EB7" w:rsidRPr="005E7DD1">
        <w:rPr>
          <w:rFonts w:asciiTheme="minorHAnsi" w:hAnsiTheme="minorHAnsi" w:cstheme="minorHAnsi"/>
        </w:rPr>
        <w:t xml:space="preserve">in </w:t>
      </w:r>
      <w:r w:rsidR="004325F9">
        <w:rPr>
          <w:rFonts w:asciiTheme="minorHAnsi" w:hAnsiTheme="minorHAnsi" w:cstheme="minorHAnsi"/>
        </w:rPr>
        <w:t xml:space="preserve">cannabis </w:t>
      </w:r>
      <w:r w:rsidR="000C5EB7" w:rsidRPr="005E7DD1">
        <w:rPr>
          <w:rFonts w:asciiTheme="minorHAnsi" w:hAnsiTheme="minorHAnsi" w:cstheme="minorHAnsi"/>
        </w:rPr>
        <w:t>licensing programs is imperative.</w:t>
      </w:r>
      <w:r w:rsidR="00F94D7B">
        <w:rPr>
          <w:rFonts w:asciiTheme="minorHAnsi" w:hAnsiTheme="minorHAnsi" w:cstheme="minorHAnsi"/>
        </w:rPr>
        <w:t xml:space="preserve"> </w:t>
      </w:r>
      <w:r w:rsidR="009D3804">
        <w:rPr>
          <w:rFonts w:asciiTheme="minorHAnsi" w:hAnsiTheme="minorHAnsi" w:cstheme="minorHAnsi"/>
        </w:rPr>
        <w:t>Along with equity considerations, a</w:t>
      </w:r>
      <w:r w:rsidR="000C5EB7" w:rsidRPr="005E7DD1">
        <w:rPr>
          <w:rFonts w:asciiTheme="minorHAnsi" w:hAnsiTheme="minorHAnsi" w:cstheme="minorHAnsi"/>
        </w:rPr>
        <w:t>ny licensing scheme should also take into consideration the impact of conflicts of interest in ownership.</w:t>
      </w:r>
      <w:r w:rsidR="007A6306">
        <w:rPr>
          <w:rFonts w:asciiTheme="minorHAnsi" w:hAnsiTheme="minorHAnsi" w:cstheme="minorHAnsi"/>
        </w:rPr>
        <w:t xml:space="preserve"> </w:t>
      </w:r>
    </w:p>
    <w:p w14:paraId="6E3BFAAF" w14:textId="77777777" w:rsidR="00747A79" w:rsidRPr="005E7DD1" w:rsidRDefault="00747A79" w:rsidP="003B6C8F">
      <w:pPr>
        <w:jc w:val="both"/>
        <w:rPr>
          <w:rFonts w:asciiTheme="minorHAnsi" w:hAnsiTheme="minorHAnsi" w:cstheme="minorHAnsi"/>
          <w:b/>
        </w:rPr>
      </w:pPr>
    </w:p>
    <w:p w14:paraId="727FDF60" w14:textId="179FFF3E" w:rsidR="000C5EB7" w:rsidRPr="005E7DD1" w:rsidRDefault="00DE1E77" w:rsidP="003B6C8F">
      <w:pPr>
        <w:jc w:val="both"/>
        <w:rPr>
          <w:rFonts w:asciiTheme="minorHAnsi" w:hAnsiTheme="minorHAnsi" w:cstheme="minorHAnsi"/>
          <w:b/>
          <w:color w:val="000000" w:themeColor="text1"/>
        </w:rPr>
      </w:pPr>
      <w:r w:rsidRPr="005E7DD1">
        <w:rPr>
          <w:rFonts w:asciiTheme="minorHAnsi" w:hAnsiTheme="minorHAnsi" w:cstheme="minorHAnsi"/>
          <w:b/>
          <w:color w:val="4472C4" w:themeColor="accent1"/>
        </w:rPr>
        <w:t>Equity Provisions (Hiring, Cost Reduction/Deferral, Licensing) (6</w:t>
      </w:r>
      <w:r w:rsidR="000C5EB7" w:rsidRPr="005E7DD1">
        <w:rPr>
          <w:rFonts w:asciiTheme="minorHAnsi" w:hAnsiTheme="minorHAnsi" w:cstheme="minorHAnsi"/>
          <w:b/>
          <w:color w:val="4472C4" w:themeColor="accent1"/>
        </w:rPr>
        <w:t xml:space="preserve"> </w:t>
      </w:r>
      <w:r w:rsidRPr="005E7DD1">
        <w:rPr>
          <w:rFonts w:asciiTheme="minorHAnsi" w:hAnsiTheme="minorHAnsi" w:cstheme="minorHAnsi"/>
          <w:b/>
          <w:color w:val="4472C4" w:themeColor="accent1"/>
        </w:rPr>
        <w:t>points max)</w:t>
      </w:r>
      <w:r w:rsidRPr="005E7DD1">
        <w:rPr>
          <w:rFonts w:asciiTheme="minorHAnsi" w:hAnsiTheme="minorHAnsi" w:cstheme="minorHAnsi"/>
          <w:b/>
          <w:color w:val="000000" w:themeColor="text1"/>
        </w:rPr>
        <w:t xml:space="preserve"> </w:t>
      </w:r>
    </w:p>
    <w:p w14:paraId="694DD7F9" w14:textId="0347AA87" w:rsidR="000C5EB7" w:rsidRPr="005E7DD1" w:rsidRDefault="000C5EB7" w:rsidP="003B6C8F">
      <w:pPr>
        <w:jc w:val="both"/>
        <w:rPr>
          <w:rFonts w:asciiTheme="minorHAnsi" w:hAnsiTheme="minorHAnsi" w:cstheme="minorHAnsi"/>
          <w:color w:val="000000" w:themeColor="text1"/>
        </w:rPr>
      </w:pPr>
      <w:r w:rsidRPr="005E7DD1">
        <w:rPr>
          <w:rFonts w:asciiTheme="minorHAnsi" w:hAnsiTheme="minorHAnsi" w:cstheme="minorHAnsi"/>
          <w:b/>
          <w:color w:val="000000" w:themeColor="text1"/>
        </w:rPr>
        <w:t>Description</w:t>
      </w:r>
      <w:r w:rsidRPr="005E7DD1">
        <w:rPr>
          <w:rFonts w:asciiTheme="minorHAnsi" w:hAnsiTheme="minorHAnsi" w:cstheme="minorHAnsi"/>
          <w:color w:val="000000" w:themeColor="text1"/>
        </w:rPr>
        <w:t xml:space="preserve">: </w:t>
      </w:r>
      <w:r w:rsidR="00DE1E77" w:rsidRPr="005E7DD1">
        <w:rPr>
          <w:rFonts w:asciiTheme="minorHAnsi" w:hAnsiTheme="minorHAnsi" w:cstheme="minorHAnsi"/>
          <w:color w:val="000000" w:themeColor="text1"/>
        </w:rPr>
        <w:t xml:space="preserve">Ensuring that revenue from cannabis legalization stays in communities most affected by incarcerations for minor drug offenses should be a priority in any legalization scheme. </w:t>
      </w:r>
      <w:r w:rsidR="00DE1E77" w:rsidRPr="005E7DD1">
        <w:rPr>
          <w:rFonts w:asciiTheme="minorHAnsi" w:hAnsiTheme="minorHAnsi" w:cstheme="minorHAnsi"/>
          <w:color w:val="000000" w:themeColor="text1"/>
        </w:rPr>
        <w:lastRenderedPageBreak/>
        <w:t xml:space="preserve">Past </w:t>
      </w:r>
      <w:r w:rsidR="00F94D7B">
        <w:rPr>
          <w:rFonts w:asciiTheme="minorHAnsi" w:hAnsiTheme="minorHAnsi" w:cstheme="minorHAnsi"/>
          <w:color w:val="000000" w:themeColor="text1"/>
        </w:rPr>
        <w:t>cannabis</w:t>
      </w:r>
      <w:r w:rsidR="00DE1E77" w:rsidRPr="005E7DD1">
        <w:rPr>
          <w:rFonts w:asciiTheme="minorHAnsi" w:hAnsiTheme="minorHAnsi" w:cstheme="minorHAnsi"/>
          <w:color w:val="000000" w:themeColor="text1"/>
        </w:rPr>
        <w:t xml:space="preserve"> convictions, which have negatively affected so many lives in the black and Latino communities, should not be a barrier to entry in the legal market.</w:t>
      </w:r>
      <w:r w:rsidR="007A6306">
        <w:rPr>
          <w:rFonts w:asciiTheme="minorHAnsi" w:hAnsiTheme="minorHAnsi" w:cstheme="minorHAnsi"/>
          <w:color w:val="000000" w:themeColor="text1"/>
        </w:rPr>
        <w:t xml:space="preserve"> </w:t>
      </w:r>
      <w:r w:rsidR="00DE1E77" w:rsidRPr="005E7DD1">
        <w:rPr>
          <w:rFonts w:asciiTheme="minorHAnsi" w:hAnsiTheme="minorHAnsi" w:cstheme="minorHAnsi"/>
          <w:color w:val="000000" w:themeColor="text1"/>
        </w:rPr>
        <w:t>Equity provisions that lower costs for applicants and/or prioritize those licenses</w:t>
      </w:r>
      <w:r w:rsidR="009B5A94">
        <w:rPr>
          <w:rFonts w:asciiTheme="minorHAnsi" w:hAnsiTheme="minorHAnsi" w:cstheme="minorHAnsi"/>
          <w:color w:val="000000" w:themeColor="text1"/>
        </w:rPr>
        <w:t xml:space="preserve"> can</w:t>
      </w:r>
      <w:r w:rsidR="003B6C8F">
        <w:rPr>
          <w:rFonts w:asciiTheme="minorHAnsi" w:hAnsiTheme="minorHAnsi" w:cstheme="minorHAnsi"/>
          <w:color w:val="000000" w:themeColor="text1"/>
        </w:rPr>
        <w:t xml:space="preserve"> </w:t>
      </w:r>
      <w:r w:rsidR="00DE1E77" w:rsidRPr="005E7DD1">
        <w:rPr>
          <w:rFonts w:asciiTheme="minorHAnsi" w:hAnsiTheme="minorHAnsi" w:cstheme="minorHAnsi"/>
          <w:color w:val="000000" w:themeColor="text1"/>
        </w:rPr>
        <w:t xml:space="preserve">provide applicants from these communities the time to obtain investors and locate properties without being pushed aside by outside money and corporate investors. In general, local ordinances will define an equity applicant as either a person who has lived for a specified number of years in a census tract with a high proportion of cannabis-related incarcerations, </w:t>
      </w:r>
      <w:r w:rsidR="009B5A94">
        <w:rPr>
          <w:rFonts w:asciiTheme="minorHAnsi" w:hAnsiTheme="minorHAnsi" w:cstheme="minorHAnsi"/>
          <w:color w:val="000000" w:themeColor="text1"/>
        </w:rPr>
        <w:t xml:space="preserve">and/or </w:t>
      </w:r>
      <w:r w:rsidR="00DE1E77" w:rsidRPr="005E7DD1">
        <w:rPr>
          <w:rFonts w:asciiTheme="minorHAnsi" w:hAnsiTheme="minorHAnsi" w:cstheme="minorHAnsi"/>
          <w:color w:val="000000" w:themeColor="text1"/>
        </w:rPr>
        <w:t>a person with a cannabis-related conviction and who lives below poverty level, or some similar combination.</w:t>
      </w:r>
      <w:r w:rsidR="007A6306">
        <w:rPr>
          <w:rFonts w:asciiTheme="minorHAnsi" w:hAnsiTheme="minorHAnsi" w:cstheme="minorHAnsi"/>
          <w:color w:val="000000" w:themeColor="text1"/>
        </w:rPr>
        <w:t xml:space="preserve"> </w:t>
      </w:r>
      <w:r w:rsidRPr="005E7DD1">
        <w:rPr>
          <w:rFonts w:asciiTheme="minorHAnsi" w:hAnsiTheme="minorHAnsi" w:cstheme="minorHAnsi"/>
          <w:color w:val="000000" w:themeColor="text1"/>
        </w:rPr>
        <w:t>Best practices are still being developed so we recognize any jurisdiction that makes a clear effort to devel</w:t>
      </w:r>
      <w:r w:rsidR="00B409DB">
        <w:rPr>
          <w:rFonts w:asciiTheme="minorHAnsi" w:hAnsiTheme="minorHAnsi" w:cstheme="minorHAnsi"/>
          <w:color w:val="000000" w:themeColor="text1"/>
        </w:rPr>
        <w:t>o</w:t>
      </w:r>
      <w:r w:rsidRPr="005E7DD1">
        <w:rPr>
          <w:rFonts w:asciiTheme="minorHAnsi" w:hAnsiTheme="minorHAnsi" w:cstheme="minorHAnsi"/>
          <w:color w:val="000000" w:themeColor="text1"/>
        </w:rPr>
        <w:t xml:space="preserve">p an approach to economic equity in cannabis licensing. </w:t>
      </w:r>
    </w:p>
    <w:p w14:paraId="75EDABC0" w14:textId="785A07DB" w:rsidR="00DE1E77" w:rsidRPr="005E7DD1" w:rsidRDefault="00DE1E77" w:rsidP="00DE1E77">
      <w:pPr>
        <w:rPr>
          <w:rFonts w:asciiTheme="minorHAnsi" w:hAnsiTheme="minorHAnsi" w:cstheme="minorHAnsi"/>
        </w:rPr>
      </w:pPr>
    </w:p>
    <w:p w14:paraId="74D80BCB" w14:textId="16A2A60B" w:rsidR="00DE1E77" w:rsidRPr="005E7DD1" w:rsidRDefault="00DE1E77" w:rsidP="003B6C8F">
      <w:pPr>
        <w:jc w:val="both"/>
        <w:rPr>
          <w:rFonts w:asciiTheme="minorHAnsi" w:hAnsiTheme="minorHAnsi" w:cstheme="minorHAnsi"/>
          <w:color w:val="000000" w:themeColor="text1"/>
        </w:rPr>
      </w:pPr>
      <w:r w:rsidRPr="005E7DD1">
        <w:rPr>
          <w:rFonts w:asciiTheme="minorHAnsi" w:hAnsiTheme="minorHAnsi" w:cstheme="minorHAnsi"/>
          <w:i/>
          <w:color w:val="4472C4" w:themeColor="accent1"/>
        </w:rPr>
        <w:t>“Equity in hiring</w:t>
      </w:r>
      <w:r w:rsidRPr="005E7DD1">
        <w:rPr>
          <w:rFonts w:asciiTheme="minorHAnsi" w:hAnsiTheme="minorHAnsi" w:cstheme="minorHAnsi"/>
          <w:color w:val="4472C4" w:themeColor="accent1"/>
        </w:rPr>
        <w:t>” (3 points)</w:t>
      </w:r>
      <w:r w:rsidR="000C5EB7" w:rsidRPr="005E7DD1">
        <w:rPr>
          <w:rFonts w:asciiTheme="minorHAnsi" w:hAnsiTheme="minorHAnsi" w:cstheme="minorHAnsi"/>
          <w:color w:val="4472C4" w:themeColor="accent1"/>
        </w:rPr>
        <w:t xml:space="preserve">: </w:t>
      </w:r>
      <w:r w:rsidR="000C5EB7" w:rsidRPr="005E7DD1">
        <w:rPr>
          <w:rFonts w:asciiTheme="minorHAnsi" w:hAnsiTheme="minorHAnsi" w:cstheme="minorHAnsi"/>
          <w:color w:val="000000" w:themeColor="text1"/>
        </w:rPr>
        <w:t>R</w:t>
      </w:r>
      <w:r w:rsidRPr="005E7DD1">
        <w:rPr>
          <w:rFonts w:asciiTheme="minorHAnsi" w:hAnsiTheme="minorHAnsi" w:cstheme="minorHAnsi"/>
          <w:color w:val="000000" w:themeColor="text1"/>
        </w:rPr>
        <w:t>efers to an ordinance provision that requires that a certain percentage of a cannabis business’ workforce be comprised of low-income, transitional workers or workers that live in communities that have been most disadvantaged</w:t>
      </w:r>
      <w:r w:rsidR="00F94D7B">
        <w:rPr>
          <w:rFonts w:asciiTheme="minorHAnsi" w:hAnsiTheme="minorHAnsi" w:cstheme="minorHAnsi"/>
          <w:color w:val="000000" w:themeColor="text1"/>
        </w:rPr>
        <w:t xml:space="preserve"> </w:t>
      </w:r>
      <w:r w:rsidRPr="005E7DD1">
        <w:rPr>
          <w:rFonts w:asciiTheme="minorHAnsi" w:hAnsiTheme="minorHAnsi" w:cstheme="minorHAnsi"/>
          <w:color w:val="000000" w:themeColor="text1"/>
        </w:rPr>
        <w:t>by the war on drugs. Local jurisdictions that adopt equity in hiring provisions are awarded 3 points.</w:t>
      </w:r>
    </w:p>
    <w:p w14:paraId="58C1BB32" w14:textId="77777777" w:rsidR="000C5EB7" w:rsidRPr="005E7DD1" w:rsidRDefault="000C5EB7" w:rsidP="003B6C8F">
      <w:pPr>
        <w:jc w:val="both"/>
        <w:rPr>
          <w:rFonts w:asciiTheme="minorHAnsi" w:hAnsiTheme="minorHAnsi" w:cstheme="minorHAnsi"/>
          <w:color w:val="4472C4" w:themeColor="accent1"/>
        </w:rPr>
      </w:pPr>
    </w:p>
    <w:p w14:paraId="1F4962C9" w14:textId="1F3CFF22" w:rsidR="00DE1E77" w:rsidRPr="005E7DD1" w:rsidRDefault="00DE1E77" w:rsidP="003B6C8F">
      <w:pPr>
        <w:jc w:val="both"/>
        <w:rPr>
          <w:rFonts w:asciiTheme="minorHAnsi" w:hAnsiTheme="minorHAnsi" w:cstheme="minorHAnsi"/>
          <w:color w:val="000000" w:themeColor="text1"/>
        </w:rPr>
      </w:pPr>
      <w:r w:rsidRPr="005E7DD1">
        <w:rPr>
          <w:rFonts w:asciiTheme="minorHAnsi" w:hAnsiTheme="minorHAnsi" w:cstheme="minorHAnsi"/>
          <w:i/>
          <w:color w:val="4472C4" w:themeColor="accent1"/>
        </w:rPr>
        <w:t xml:space="preserve">“Priority in Licensing” </w:t>
      </w:r>
      <w:r w:rsidRPr="005E7DD1">
        <w:rPr>
          <w:rFonts w:asciiTheme="minorHAnsi" w:hAnsiTheme="minorHAnsi" w:cstheme="minorHAnsi"/>
          <w:color w:val="4472C4" w:themeColor="accent1"/>
        </w:rPr>
        <w:t>(2 points)</w:t>
      </w:r>
      <w:r w:rsidR="000C5EB7" w:rsidRPr="005E7DD1">
        <w:rPr>
          <w:rFonts w:asciiTheme="minorHAnsi" w:hAnsiTheme="minorHAnsi" w:cstheme="minorHAnsi"/>
          <w:color w:val="000000" w:themeColor="text1"/>
        </w:rPr>
        <w:t>:</w:t>
      </w:r>
      <w:r w:rsidRPr="005E7DD1">
        <w:rPr>
          <w:rFonts w:asciiTheme="minorHAnsi" w:hAnsiTheme="minorHAnsi" w:cstheme="minorHAnsi"/>
          <w:color w:val="000000" w:themeColor="text1"/>
        </w:rPr>
        <w:t xml:space="preserve"> </w:t>
      </w:r>
      <w:r w:rsidR="000C5EB7" w:rsidRPr="005E7DD1">
        <w:rPr>
          <w:rFonts w:asciiTheme="minorHAnsi" w:hAnsiTheme="minorHAnsi" w:cstheme="minorHAnsi"/>
          <w:color w:val="000000" w:themeColor="text1"/>
        </w:rPr>
        <w:t>R</w:t>
      </w:r>
      <w:r w:rsidRPr="005E7DD1">
        <w:rPr>
          <w:rFonts w:asciiTheme="minorHAnsi" w:hAnsiTheme="minorHAnsi" w:cstheme="minorHAnsi"/>
          <w:color w:val="000000" w:themeColor="text1"/>
        </w:rPr>
        <w:t xml:space="preserve">efers to an ordinance provision that gives priority to equity applicants over non-equity applicants when issuing cannabis business licenses. This may include a requirement that all licenses be given to equity applicants or that some percentage of available licenses be reserved for equity applicants. A jurisdiction that gives priority in licensing to equity applicants will be awarded two points. </w:t>
      </w:r>
    </w:p>
    <w:p w14:paraId="7B66E49D" w14:textId="77777777" w:rsidR="000C5EB7" w:rsidRPr="005E7DD1" w:rsidRDefault="000C5EB7" w:rsidP="003B6C8F">
      <w:pPr>
        <w:jc w:val="both"/>
        <w:rPr>
          <w:rFonts w:asciiTheme="minorHAnsi" w:hAnsiTheme="minorHAnsi" w:cstheme="minorHAnsi"/>
          <w:color w:val="000000" w:themeColor="text1"/>
        </w:rPr>
      </w:pPr>
    </w:p>
    <w:p w14:paraId="5D5F6C32" w14:textId="3EAD40E9" w:rsidR="00DE1E77" w:rsidRPr="005E7DD1" w:rsidRDefault="00DE1E77" w:rsidP="003B6C8F">
      <w:pPr>
        <w:jc w:val="both"/>
        <w:rPr>
          <w:rFonts w:asciiTheme="minorHAnsi" w:hAnsiTheme="minorHAnsi" w:cstheme="minorHAnsi"/>
          <w:color w:val="000000" w:themeColor="text1"/>
        </w:rPr>
      </w:pPr>
      <w:r w:rsidRPr="005E7DD1">
        <w:rPr>
          <w:rFonts w:asciiTheme="minorHAnsi" w:hAnsiTheme="minorHAnsi" w:cstheme="minorHAnsi"/>
          <w:color w:val="4472C4" w:themeColor="accent1"/>
        </w:rPr>
        <w:t>“</w:t>
      </w:r>
      <w:r w:rsidRPr="005E7DD1">
        <w:rPr>
          <w:rFonts w:asciiTheme="minorHAnsi" w:hAnsiTheme="minorHAnsi" w:cstheme="minorHAnsi"/>
          <w:i/>
          <w:color w:val="4472C4" w:themeColor="accent1"/>
        </w:rPr>
        <w:t xml:space="preserve">Cost reduction/deferral” </w:t>
      </w:r>
      <w:r w:rsidRPr="005E7DD1">
        <w:rPr>
          <w:rFonts w:asciiTheme="minorHAnsi" w:hAnsiTheme="minorHAnsi" w:cstheme="minorHAnsi"/>
          <w:color w:val="4472C4" w:themeColor="accent1"/>
        </w:rPr>
        <w:t>(1 point)</w:t>
      </w:r>
      <w:r w:rsidR="000C5EB7" w:rsidRPr="005E7DD1">
        <w:rPr>
          <w:rFonts w:asciiTheme="minorHAnsi" w:hAnsiTheme="minorHAnsi" w:cstheme="minorHAnsi"/>
          <w:color w:val="4472C4" w:themeColor="accent1"/>
        </w:rPr>
        <w:t>:</w:t>
      </w:r>
      <w:r w:rsidRPr="005E7DD1">
        <w:rPr>
          <w:rFonts w:asciiTheme="minorHAnsi" w:hAnsiTheme="minorHAnsi" w:cstheme="minorHAnsi"/>
          <w:color w:val="4472C4" w:themeColor="accent1"/>
        </w:rPr>
        <w:t xml:space="preserve"> </w:t>
      </w:r>
      <w:r w:rsidR="000C5EB7" w:rsidRPr="005E7DD1">
        <w:rPr>
          <w:rFonts w:asciiTheme="minorHAnsi" w:hAnsiTheme="minorHAnsi" w:cstheme="minorHAnsi"/>
          <w:color w:val="000000" w:themeColor="text1"/>
        </w:rPr>
        <w:t>R</w:t>
      </w:r>
      <w:r w:rsidRPr="005E7DD1">
        <w:rPr>
          <w:rFonts w:asciiTheme="minorHAnsi" w:hAnsiTheme="minorHAnsi" w:cstheme="minorHAnsi"/>
          <w:color w:val="000000" w:themeColor="text1"/>
        </w:rPr>
        <w:t xml:space="preserve">efers to an ordinance provision that reduces or defers the costs of applying for, and maintaining, a cannabis business license for individuals that meet the definition of an equity applicant. A jurisdiction that includes cost deferral or reduction for equity applicants receives 1 point. </w:t>
      </w:r>
    </w:p>
    <w:p w14:paraId="30C69654" w14:textId="1B37649A" w:rsidR="00DE1E77" w:rsidRPr="005E7DD1" w:rsidRDefault="00DE1E77" w:rsidP="003B6C8F">
      <w:pPr>
        <w:jc w:val="both"/>
        <w:rPr>
          <w:rFonts w:asciiTheme="minorHAnsi" w:hAnsiTheme="minorHAnsi" w:cstheme="minorHAnsi"/>
          <w:color w:val="000000" w:themeColor="text1"/>
        </w:rPr>
      </w:pPr>
    </w:p>
    <w:p w14:paraId="0D668A53" w14:textId="5C387992" w:rsidR="007D4D23" w:rsidRDefault="000C5EB7" w:rsidP="003B6C8F">
      <w:pPr>
        <w:jc w:val="both"/>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State Law: </w:t>
      </w:r>
      <w:r w:rsidR="006F0C60">
        <w:rPr>
          <w:rFonts w:asciiTheme="minorHAnsi" w:hAnsiTheme="minorHAnsi" w:cstheme="minorHAnsi"/>
          <w:b/>
          <w:color w:val="000000" w:themeColor="text1"/>
        </w:rPr>
        <w:t xml:space="preserve">Promoting social </w:t>
      </w:r>
      <w:r w:rsidR="006F0C60">
        <w:rPr>
          <w:rFonts w:asciiTheme="minorHAnsi" w:hAnsiTheme="minorHAnsi" w:cstheme="minorHAnsi"/>
          <w:color w:val="000000" w:themeColor="text1"/>
        </w:rPr>
        <w:t>e</w:t>
      </w:r>
      <w:r w:rsidR="005E7DD1" w:rsidRPr="005E7DD1">
        <w:rPr>
          <w:rFonts w:asciiTheme="minorHAnsi" w:hAnsiTheme="minorHAnsi" w:cstheme="minorHAnsi"/>
          <w:color w:val="000000" w:themeColor="text1"/>
        </w:rPr>
        <w:t xml:space="preserve">quity in </w:t>
      </w:r>
      <w:r w:rsidR="006F0C60">
        <w:rPr>
          <w:rFonts w:asciiTheme="minorHAnsi" w:hAnsiTheme="minorHAnsi" w:cstheme="minorHAnsi"/>
          <w:color w:val="000000" w:themeColor="text1"/>
        </w:rPr>
        <w:t xml:space="preserve">cannabis-related </w:t>
      </w:r>
      <w:r w:rsidR="005E7DD1" w:rsidRPr="005E7DD1">
        <w:rPr>
          <w:rFonts w:asciiTheme="minorHAnsi" w:hAnsiTheme="minorHAnsi" w:cstheme="minorHAnsi"/>
          <w:color w:val="000000" w:themeColor="text1"/>
        </w:rPr>
        <w:t>licensing, hiring, or cost</w:t>
      </w:r>
      <w:r w:rsidR="006F0C60">
        <w:rPr>
          <w:rFonts w:asciiTheme="minorHAnsi" w:hAnsiTheme="minorHAnsi" w:cstheme="minorHAnsi"/>
          <w:color w:val="000000" w:themeColor="text1"/>
        </w:rPr>
        <w:t xml:space="preserve"> </w:t>
      </w:r>
      <w:r w:rsidR="009B5A94">
        <w:rPr>
          <w:rFonts w:asciiTheme="minorHAnsi" w:hAnsiTheme="minorHAnsi" w:cstheme="minorHAnsi"/>
          <w:color w:val="000000" w:themeColor="text1"/>
        </w:rPr>
        <w:t>deferral</w:t>
      </w:r>
      <w:r w:rsidR="003B6C8F">
        <w:rPr>
          <w:rFonts w:asciiTheme="minorHAnsi" w:hAnsiTheme="minorHAnsi" w:cstheme="minorHAnsi"/>
          <w:color w:val="000000" w:themeColor="text1"/>
        </w:rPr>
        <w:t xml:space="preserve"> </w:t>
      </w:r>
      <w:r w:rsidR="005E7DD1" w:rsidRPr="005E7DD1">
        <w:rPr>
          <w:rFonts w:asciiTheme="minorHAnsi" w:hAnsiTheme="minorHAnsi" w:cstheme="minorHAnsi"/>
          <w:color w:val="000000" w:themeColor="text1"/>
        </w:rPr>
        <w:t xml:space="preserve">is </w:t>
      </w:r>
      <w:r w:rsidR="009B5A94">
        <w:rPr>
          <w:rFonts w:asciiTheme="minorHAnsi" w:hAnsiTheme="minorHAnsi" w:cstheme="minorHAnsi"/>
          <w:color w:val="000000" w:themeColor="text1"/>
        </w:rPr>
        <w:t xml:space="preserve">not </w:t>
      </w:r>
      <w:r w:rsidR="006F0C60">
        <w:rPr>
          <w:rFonts w:asciiTheme="minorHAnsi" w:hAnsiTheme="minorHAnsi" w:cstheme="minorHAnsi"/>
          <w:color w:val="000000" w:themeColor="text1"/>
        </w:rPr>
        <w:t>a consideration in</w:t>
      </w:r>
      <w:r w:rsidR="003B6C8F">
        <w:rPr>
          <w:rFonts w:asciiTheme="minorHAnsi" w:hAnsiTheme="minorHAnsi" w:cstheme="minorHAnsi"/>
          <w:color w:val="000000" w:themeColor="text1"/>
        </w:rPr>
        <w:t xml:space="preserve"> </w:t>
      </w:r>
      <w:r w:rsidR="006F0C60">
        <w:rPr>
          <w:rFonts w:asciiTheme="minorHAnsi" w:hAnsiTheme="minorHAnsi" w:cstheme="minorHAnsi"/>
          <w:color w:val="000000" w:themeColor="text1"/>
        </w:rPr>
        <w:t>the State’s cannabis licensing system</w:t>
      </w:r>
      <w:proofErr w:type="gramStart"/>
      <w:r w:rsidR="006F0C60">
        <w:rPr>
          <w:rFonts w:asciiTheme="minorHAnsi" w:hAnsiTheme="minorHAnsi" w:cstheme="minorHAnsi"/>
          <w:color w:val="000000" w:themeColor="text1"/>
        </w:rPr>
        <w:t xml:space="preserve">. </w:t>
      </w:r>
      <w:r w:rsidR="005E7DD1" w:rsidRPr="005E7DD1">
        <w:rPr>
          <w:rFonts w:asciiTheme="minorHAnsi" w:hAnsiTheme="minorHAnsi" w:cstheme="minorHAnsi"/>
          <w:color w:val="000000" w:themeColor="text1"/>
        </w:rPr>
        <w:t>.</w:t>
      </w:r>
      <w:proofErr w:type="gramEnd"/>
      <w:r w:rsidR="007A6306">
        <w:rPr>
          <w:rFonts w:asciiTheme="minorHAnsi" w:hAnsiTheme="minorHAnsi" w:cstheme="minorHAnsi"/>
          <w:color w:val="000000" w:themeColor="text1"/>
        </w:rPr>
        <w:t xml:space="preserve"> </w:t>
      </w:r>
      <w:r w:rsidR="000F1B65">
        <w:rPr>
          <w:rFonts w:asciiTheme="minorHAnsi" w:hAnsiTheme="minorHAnsi" w:cstheme="minorHAnsi"/>
          <w:color w:val="000000" w:themeColor="text1"/>
        </w:rPr>
        <w:t>However, t</w:t>
      </w:r>
      <w:r w:rsidR="005E7DD1" w:rsidRPr="005E7DD1">
        <w:rPr>
          <w:rFonts w:asciiTheme="minorHAnsi" w:hAnsiTheme="minorHAnsi" w:cstheme="minorHAnsi"/>
          <w:color w:val="000000" w:themeColor="text1"/>
        </w:rPr>
        <w:t xml:space="preserve">he Bureau of Cannabis Control (BCC) has awarded several </w:t>
      </w:r>
      <w:r w:rsidR="009B5A94">
        <w:rPr>
          <w:rFonts w:asciiTheme="minorHAnsi" w:hAnsiTheme="minorHAnsi" w:cstheme="minorHAnsi"/>
          <w:color w:val="000000" w:themeColor="text1"/>
        </w:rPr>
        <w:t>funding</w:t>
      </w:r>
      <w:r w:rsidR="003B6C8F">
        <w:rPr>
          <w:rFonts w:asciiTheme="minorHAnsi" w:hAnsiTheme="minorHAnsi" w:cstheme="minorHAnsi"/>
          <w:color w:val="000000" w:themeColor="text1"/>
        </w:rPr>
        <w:t xml:space="preserve"> </w:t>
      </w:r>
      <w:r w:rsidR="005E7DD1" w:rsidRPr="005E7DD1">
        <w:rPr>
          <w:rFonts w:asciiTheme="minorHAnsi" w:hAnsiTheme="minorHAnsi" w:cstheme="minorHAnsi"/>
          <w:color w:val="000000" w:themeColor="text1"/>
        </w:rPr>
        <w:t xml:space="preserve">in support of equity programs </w:t>
      </w:r>
      <w:r w:rsidR="006F0C60">
        <w:rPr>
          <w:rFonts w:asciiTheme="minorHAnsi" w:hAnsiTheme="minorHAnsi" w:cstheme="minorHAnsi"/>
          <w:color w:val="000000" w:themeColor="text1"/>
        </w:rPr>
        <w:t xml:space="preserve">to the small number of jurisdictions which have adopted such programs, </w:t>
      </w:r>
      <w:r w:rsidR="005E7DD1" w:rsidRPr="005E7DD1">
        <w:rPr>
          <w:rFonts w:asciiTheme="minorHAnsi" w:hAnsiTheme="minorHAnsi" w:cstheme="minorHAnsi"/>
          <w:color w:val="000000" w:themeColor="text1"/>
        </w:rPr>
        <w:t xml:space="preserve">pursuant to the California Cannabis Equity Act of 2018. </w:t>
      </w:r>
      <w:r w:rsidR="000F1B65">
        <w:rPr>
          <w:rFonts w:asciiTheme="minorHAnsi" w:hAnsiTheme="minorHAnsi" w:cstheme="minorHAnsi"/>
          <w:color w:val="000000" w:themeColor="text1"/>
        </w:rPr>
        <w:t xml:space="preserve">Under this Act, </w:t>
      </w:r>
      <w:r w:rsidR="009A6D79">
        <w:rPr>
          <w:rFonts w:asciiTheme="minorHAnsi" w:hAnsiTheme="minorHAnsi" w:cstheme="minorHAnsi"/>
          <w:color w:val="000000" w:themeColor="text1"/>
        </w:rPr>
        <w:t xml:space="preserve">a local jurisdiction that </w:t>
      </w:r>
      <w:r w:rsidR="009A6D79" w:rsidRPr="0017130F">
        <w:rPr>
          <w:rFonts w:asciiTheme="minorHAnsi" w:hAnsiTheme="minorHAnsi" w:cstheme="minorHAnsi"/>
          <w:color w:val="000000" w:themeColor="text1"/>
        </w:rPr>
        <w:t>has created its own equity program can apply for</w:t>
      </w:r>
      <w:r w:rsidR="009A6D79">
        <w:rPr>
          <w:rFonts w:asciiTheme="minorHAnsi" w:hAnsiTheme="minorHAnsi" w:cstheme="minorHAnsi"/>
          <w:color w:val="000000" w:themeColor="text1"/>
        </w:rPr>
        <w:t xml:space="preserve"> </w:t>
      </w:r>
      <w:r w:rsidR="0017130F">
        <w:rPr>
          <w:rFonts w:asciiTheme="minorHAnsi" w:hAnsiTheme="minorHAnsi" w:cstheme="minorHAnsi"/>
          <w:color w:val="000000" w:themeColor="text1"/>
        </w:rPr>
        <w:t>this funding</w:t>
      </w:r>
      <w:r w:rsidR="009B5A94">
        <w:rPr>
          <w:rFonts w:asciiTheme="minorHAnsi" w:hAnsiTheme="minorHAnsi" w:cstheme="minorHAnsi"/>
          <w:color w:val="000000" w:themeColor="text1"/>
        </w:rPr>
        <w:t>.</w:t>
      </w:r>
      <w:r w:rsidR="0017130F">
        <w:rPr>
          <w:rFonts w:asciiTheme="minorHAnsi" w:hAnsiTheme="minorHAnsi" w:cstheme="minorHAnsi"/>
          <w:color w:val="000000" w:themeColor="text1"/>
        </w:rPr>
        <w:t xml:space="preserve"> Score: </w:t>
      </w:r>
      <w:r w:rsidR="00E74F6A">
        <w:rPr>
          <w:rFonts w:asciiTheme="minorHAnsi" w:hAnsiTheme="minorHAnsi" w:cstheme="minorHAnsi"/>
          <w:color w:val="000000" w:themeColor="text1"/>
        </w:rPr>
        <w:t>0</w:t>
      </w:r>
    </w:p>
    <w:p w14:paraId="67C0EC18" w14:textId="6F2E51C6" w:rsidR="009D3804" w:rsidRDefault="009D3804" w:rsidP="003B6C8F">
      <w:pPr>
        <w:jc w:val="both"/>
        <w:rPr>
          <w:rFonts w:asciiTheme="minorHAnsi" w:hAnsiTheme="minorHAnsi" w:cstheme="minorHAnsi"/>
          <w:color w:val="000000" w:themeColor="text1"/>
        </w:rPr>
      </w:pPr>
    </w:p>
    <w:p w14:paraId="73B306EB" w14:textId="1CCAA3F6" w:rsidR="0090146C" w:rsidRPr="00CF406B" w:rsidRDefault="009D3804" w:rsidP="003B6C8F">
      <w:pPr>
        <w:jc w:val="both"/>
        <w:rPr>
          <w:rFonts w:asciiTheme="minorHAnsi" w:hAnsiTheme="minorHAnsi" w:cstheme="minorHAnsi"/>
          <w:color w:val="000000" w:themeColor="text1"/>
        </w:rPr>
      </w:pPr>
      <w:r>
        <w:rPr>
          <w:rFonts w:asciiTheme="minorHAnsi" w:hAnsiTheme="minorHAnsi" w:cstheme="minorHAnsi"/>
          <w:b/>
          <w:color w:val="000000" w:themeColor="text1"/>
        </w:rPr>
        <w:t>Rationale and Points:</w:t>
      </w:r>
      <w:r w:rsidR="0090146C">
        <w:rPr>
          <w:rFonts w:asciiTheme="minorHAnsi" w:hAnsiTheme="minorHAnsi" w:cstheme="minorHAnsi"/>
          <w:b/>
          <w:color w:val="000000" w:themeColor="text1"/>
        </w:rPr>
        <w:t xml:space="preserve"> </w:t>
      </w:r>
      <w:r w:rsidR="0090146C">
        <w:rPr>
          <w:rFonts w:asciiTheme="minorHAnsi" w:hAnsiTheme="minorHAnsi" w:cstheme="minorHAnsi"/>
          <w:color w:val="000000" w:themeColor="text1"/>
        </w:rPr>
        <w:t>The lengthy “war on drugs “ disproportionately and negatively impacted certain communities. Social equity cannabis programs are intended to specifically respond to and assist individuals in those communities that were most disadvantaged by cannabis prohibition.</w:t>
      </w:r>
      <w:r w:rsidR="0090146C">
        <w:rPr>
          <w:rStyle w:val="FootnoteReference"/>
          <w:rFonts w:asciiTheme="minorHAnsi" w:hAnsiTheme="minorHAnsi" w:cstheme="minorHAnsi"/>
          <w:color w:val="000000" w:themeColor="text1"/>
        </w:rPr>
        <w:footnoteReference w:id="100"/>
      </w:r>
      <w:r w:rsidR="00F94D7B">
        <w:rPr>
          <w:rFonts w:asciiTheme="minorHAnsi" w:hAnsiTheme="minorHAnsi" w:cstheme="minorHAnsi"/>
          <w:color w:val="000000" w:themeColor="text1"/>
        </w:rPr>
        <w:t xml:space="preserve"> </w:t>
      </w:r>
      <w:r w:rsidR="0090146C">
        <w:rPr>
          <w:rFonts w:asciiTheme="minorHAnsi" w:hAnsiTheme="minorHAnsi" w:cstheme="minorHAnsi"/>
          <w:color w:val="000000" w:themeColor="text1"/>
        </w:rPr>
        <w:t>Equity applicants should be given priority in licensing in order to ensure that available licenses are not monopolized by well-resourced cannabis operators</w:t>
      </w:r>
      <w:r w:rsidR="006F0C60">
        <w:rPr>
          <w:rFonts w:asciiTheme="minorHAnsi" w:hAnsiTheme="minorHAnsi" w:cstheme="minorHAnsi"/>
          <w:color w:val="000000" w:themeColor="text1"/>
        </w:rPr>
        <w:t>, over those who were previously jailed for the same economic activity</w:t>
      </w:r>
      <w:r w:rsidR="0090146C">
        <w:rPr>
          <w:rFonts w:asciiTheme="minorHAnsi" w:hAnsiTheme="minorHAnsi" w:cstheme="minorHAnsi"/>
          <w:color w:val="000000" w:themeColor="text1"/>
        </w:rPr>
        <w:t xml:space="preserve">. The financial benefits of cannabis legalization should be realized by those communities most negatively impacted by prior cannabis policy. </w:t>
      </w:r>
    </w:p>
    <w:p w14:paraId="41482F53" w14:textId="4BFA7A1C" w:rsidR="000C5EB7" w:rsidRPr="005E7DD1" w:rsidRDefault="007944F6" w:rsidP="003B6C8F">
      <w:pPr>
        <w:jc w:val="both"/>
        <w:rPr>
          <w:rFonts w:asciiTheme="minorHAnsi" w:hAnsiTheme="minorHAnsi" w:cstheme="minorHAnsi"/>
          <w:color w:val="000000" w:themeColor="text1"/>
        </w:rPr>
      </w:pPr>
      <w:r>
        <w:rPr>
          <w:rFonts w:asciiTheme="minorHAnsi" w:hAnsiTheme="minorHAnsi" w:cstheme="minorHAnsi"/>
          <w:b/>
          <w:color w:val="000000" w:themeColor="text1"/>
        </w:rPr>
        <w:lastRenderedPageBreak/>
        <w:t xml:space="preserve"> </w:t>
      </w:r>
    </w:p>
    <w:p w14:paraId="303796C7" w14:textId="77777777" w:rsidR="000C5EB7" w:rsidRPr="005E7DD1" w:rsidRDefault="000C5EB7" w:rsidP="003B6C8F">
      <w:pPr>
        <w:autoSpaceDE w:val="0"/>
        <w:autoSpaceDN w:val="0"/>
        <w:adjustRightInd w:val="0"/>
        <w:jc w:val="both"/>
        <w:rPr>
          <w:rFonts w:asciiTheme="minorHAnsi" w:hAnsiTheme="minorHAnsi" w:cstheme="minorHAnsi"/>
          <w:b/>
          <w:color w:val="4472C4" w:themeColor="accent1"/>
        </w:rPr>
      </w:pPr>
      <w:r w:rsidRPr="005E7DD1">
        <w:rPr>
          <w:rFonts w:asciiTheme="minorHAnsi" w:hAnsiTheme="minorHAnsi" w:cstheme="minorHAnsi"/>
          <w:b/>
          <w:color w:val="4472C4" w:themeColor="accent1"/>
        </w:rPr>
        <w:t>CONFLICTS OF INTEREST</w:t>
      </w:r>
    </w:p>
    <w:p w14:paraId="5FA021BD" w14:textId="22C42E02" w:rsidR="000C5EB7" w:rsidRPr="005E7DD1" w:rsidRDefault="000C5EB7" w:rsidP="003B6C8F">
      <w:pPr>
        <w:autoSpaceDE w:val="0"/>
        <w:autoSpaceDN w:val="0"/>
        <w:adjustRightInd w:val="0"/>
        <w:jc w:val="both"/>
        <w:rPr>
          <w:rFonts w:asciiTheme="minorHAnsi" w:hAnsiTheme="minorHAnsi" w:cstheme="minorHAnsi"/>
          <w:b/>
          <w:i/>
          <w:color w:val="4472C4" w:themeColor="accent1"/>
        </w:rPr>
      </w:pPr>
      <w:r w:rsidRPr="005E7DD1">
        <w:rPr>
          <w:rFonts w:asciiTheme="minorHAnsi" w:hAnsiTheme="minorHAnsi" w:cstheme="minorHAnsi"/>
          <w:b/>
          <w:i/>
          <w:color w:val="4472C4" w:themeColor="accent1"/>
        </w:rPr>
        <w:t>No prescriber on premise</w:t>
      </w:r>
      <w:r w:rsidR="005E7DD1" w:rsidRPr="005E7DD1">
        <w:rPr>
          <w:rFonts w:asciiTheme="minorHAnsi" w:hAnsiTheme="minorHAnsi" w:cstheme="minorHAnsi"/>
          <w:b/>
          <w:i/>
          <w:color w:val="4472C4" w:themeColor="accent1"/>
        </w:rPr>
        <w:t xml:space="preserve"> or in ownership </w:t>
      </w:r>
      <w:r w:rsidR="004325F9">
        <w:rPr>
          <w:rFonts w:asciiTheme="minorHAnsi" w:hAnsiTheme="minorHAnsi" w:cstheme="minorHAnsi"/>
          <w:b/>
          <w:i/>
          <w:color w:val="4472C4" w:themeColor="accent1"/>
        </w:rPr>
        <w:t>(</w:t>
      </w:r>
      <w:r w:rsidR="0017130F">
        <w:rPr>
          <w:rFonts w:asciiTheme="minorHAnsi" w:hAnsiTheme="minorHAnsi" w:cstheme="minorHAnsi"/>
          <w:b/>
          <w:i/>
          <w:color w:val="4472C4" w:themeColor="accent1"/>
        </w:rPr>
        <w:t>2</w:t>
      </w:r>
      <w:r w:rsidR="004325F9">
        <w:rPr>
          <w:rFonts w:asciiTheme="minorHAnsi" w:hAnsiTheme="minorHAnsi" w:cstheme="minorHAnsi"/>
          <w:b/>
          <w:i/>
          <w:color w:val="4472C4" w:themeColor="accent1"/>
        </w:rPr>
        <w:t xml:space="preserve"> point</w:t>
      </w:r>
      <w:r w:rsidR="0017130F">
        <w:rPr>
          <w:rFonts w:asciiTheme="minorHAnsi" w:hAnsiTheme="minorHAnsi" w:cstheme="minorHAnsi"/>
          <w:b/>
          <w:i/>
          <w:color w:val="4472C4" w:themeColor="accent1"/>
        </w:rPr>
        <w:t>s max</w:t>
      </w:r>
      <w:r w:rsidR="004325F9">
        <w:rPr>
          <w:rFonts w:asciiTheme="minorHAnsi" w:hAnsiTheme="minorHAnsi" w:cstheme="minorHAnsi"/>
          <w:b/>
          <w:i/>
          <w:color w:val="4472C4" w:themeColor="accent1"/>
        </w:rPr>
        <w:t>)</w:t>
      </w:r>
    </w:p>
    <w:p w14:paraId="31817737" w14:textId="60BB1BBE" w:rsidR="005E7DD1" w:rsidRPr="005E7DD1" w:rsidRDefault="005E7DD1" w:rsidP="003B6C8F">
      <w:pPr>
        <w:autoSpaceDE w:val="0"/>
        <w:autoSpaceDN w:val="0"/>
        <w:adjustRightInd w:val="0"/>
        <w:jc w:val="both"/>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Description: </w:t>
      </w:r>
      <w:r w:rsidRPr="005E7DD1">
        <w:rPr>
          <w:rFonts w:asciiTheme="minorHAnsi" w:hAnsiTheme="minorHAnsi" w:cstheme="minorHAnsi"/>
          <w:color w:val="000000" w:themeColor="text1"/>
        </w:rPr>
        <w:t>Prohibiting medical prescribers or practitioners, including chiropractors, from being on premises of a cannabis retail store for purposes of making cannabis recommendations, advice or otherwise encourage use of cannabis. Further prohibiting physicians or other prescribers/medical professionals from ownership interests in cannabis businesses</w:t>
      </w:r>
      <w:r w:rsidR="004325F9">
        <w:rPr>
          <w:rFonts w:asciiTheme="minorHAnsi" w:hAnsiTheme="minorHAnsi" w:cstheme="minorHAnsi"/>
          <w:color w:val="000000" w:themeColor="text1"/>
        </w:rPr>
        <w:t xml:space="preserve"> or from financial relationships with cannabis retailers is a</w:t>
      </w:r>
      <w:r w:rsidR="009D3804">
        <w:rPr>
          <w:rFonts w:asciiTheme="minorHAnsi" w:hAnsiTheme="minorHAnsi" w:cstheme="minorHAnsi"/>
          <w:color w:val="000000" w:themeColor="text1"/>
        </w:rPr>
        <w:t>d</w:t>
      </w:r>
      <w:r w:rsidR="004325F9">
        <w:rPr>
          <w:rFonts w:asciiTheme="minorHAnsi" w:hAnsiTheme="minorHAnsi" w:cstheme="minorHAnsi"/>
          <w:color w:val="000000" w:themeColor="text1"/>
        </w:rPr>
        <w:t>visable</w:t>
      </w:r>
      <w:r w:rsidR="00CF406B">
        <w:rPr>
          <w:rFonts w:asciiTheme="minorHAnsi" w:hAnsiTheme="minorHAnsi" w:cstheme="minorHAnsi"/>
          <w:color w:val="000000" w:themeColor="text1"/>
        </w:rPr>
        <w:t>.</w:t>
      </w:r>
    </w:p>
    <w:p w14:paraId="7AF560AE" w14:textId="328AFF54" w:rsidR="005E7DD1" w:rsidRPr="005E7DD1" w:rsidRDefault="005E7DD1" w:rsidP="003B6C8F">
      <w:pPr>
        <w:autoSpaceDE w:val="0"/>
        <w:autoSpaceDN w:val="0"/>
        <w:adjustRightInd w:val="0"/>
        <w:jc w:val="both"/>
        <w:rPr>
          <w:rFonts w:asciiTheme="minorHAnsi" w:hAnsiTheme="minorHAnsi" w:cstheme="minorHAnsi"/>
          <w:color w:val="000000" w:themeColor="text1"/>
        </w:rPr>
      </w:pPr>
    </w:p>
    <w:p w14:paraId="197206C5" w14:textId="5B40EC5F" w:rsidR="005E7DD1" w:rsidRPr="005E7DD1" w:rsidRDefault="005E7DD1" w:rsidP="003B6C8F">
      <w:pPr>
        <w:autoSpaceDE w:val="0"/>
        <w:autoSpaceDN w:val="0"/>
        <w:adjustRightInd w:val="0"/>
        <w:jc w:val="both"/>
        <w:rPr>
          <w:rFonts w:asciiTheme="minorHAnsi" w:hAnsiTheme="minorHAnsi" w:cstheme="minorHAnsi"/>
          <w:color w:val="000000" w:themeColor="text1"/>
        </w:rPr>
      </w:pPr>
      <w:r w:rsidRPr="005E7DD1">
        <w:rPr>
          <w:rFonts w:asciiTheme="minorHAnsi" w:hAnsiTheme="minorHAnsi" w:cstheme="minorHAnsi"/>
          <w:b/>
          <w:color w:val="000000" w:themeColor="text1"/>
        </w:rPr>
        <w:t xml:space="preserve">State Law: </w:t>
      </w:r>
      <w:r w:rsidRPr="005E7DD1">
        <w:rPr>
          <w:rFonts w:asciiTheme="minorHAnsi" w:hAnsiTheme="minorHAnsi" w:cstheme="minorHAnsi"/>
          <w:color w:val="000000" w:themeColor="text1"/>
        </w:rPr>
        <w:t>None</w:t>
      </w:r>
      <w:r w:rsidR="0017130F">
        <w:rPr>
          <w:rFonts w:asciiTheme="minorHAnsi" w:hAnsiTheme="minorHAnsi" w:cstheme="minorHAnsi"/>
          <w:color w:val="000000" w:themeColor="text1"/>
        </w:rPr>
        <w:t>. Score: 0.</w:t>
      </w:r>
    </w:p>
    <w:p w14:paraId="1B7E77D2" w14:textId="77777777" w:rsidR="005E7DD1" w:rsidRPr="005E7DD1" w:rsidRDefault="005E7DD1" w:rsidP="003B6C8F">
      <w:pPr>
        <w:autoSpaceDE w:val="0"/>
        <w:autoSpaceDN w:val="0"/>
        <w:adjustRightInd w:val="0"/>
        <w:jc w:val="both"/>
        <w:rPr>
          <w:rFonts w:asciiTheme="minorHAnsi" w:hAnsiTheme="minorHAnsi" w:cstheme="minorHAnsi"/>
          <w:b/>
          <w:color w:val="000000" w:themeColor="text1"/>
        </w:rPr>
      </w:pPr>
    </w:p>
    <w:p w14:paraId="1D3B3A83" w14:textId="473B8025" w:rsidR="000C5EB7" w:rsidRPr="005E7DD1" w:rsidRDefault="005E7DD1" w:rsidP="003B6C8F">
      <w:pPr>
        <w:jc w:val="both"/>
        <w:outlineLvl w:val="0"/>
        <w:rPr>
          <w:rFonts w:asciiTheme="minorHAnsi" w:hAnsiTheme="minorHAnsi" w:cstheme="minorHAnsi"/>
        </w:rPr>
      </w:pPr>
      <w:r w:rsidRPr="005E7DD1">
        <w:rPr>
          <w:rFonts w:asciiTheme="minorHAnsi" w:hAnsiTheme="minorHAnsi" w:cstheme="minorHAnsi"/>
          <w:b/>
        </w:rPr>
        <w:t>Rationale</w:t>
      </w:r>
      <w:r w:rsidR="00C21A9A">
        <w:rPr>
          <w:rFonts w:asciiTheme="minorHAnsi" w:hAnsiTheme="minorHAnsi" w:cstheme="minorHAnsi"/>
          <w:b/>
        </w:rPr>
        <w:t xml:space="preserve"> &amp; Points</w:t>
      </w:r>
      <w:r w:rsidRPr="005E7DD1">
        <w:rPr>
          <w:rFonts w:asciiTheme="minorHAnsi" w:hAnsiTheme="minorHAnsi" w:cstheme="minorHAnsi"/>
          <w:b/>
        </w:rPr>
        <w:t>:</w:t>
      </w:r>
      <w:r w:rsidRPr="005E7DD1">
        <w:rPr>
          <w:rFonts w:asciiTheme="minorHAnsi" w:hAnsiTheme="minorHAnsi" w:cstheme="minorHAnsi"/>
        </w:rPr>
        <w:t xml:space="preserve"> </w:t>
      </w:r>
      <w:r w:rsidR="000C5EB7" w:rsidRPr="005E7DD1">
        <w:rPr>
          <w:rFonts w:asciiTheme="minorHAnsi" w:hAnsiTheme="minorHAnsi" w:cstheme="minorHAnsi"/>
        </w:rPr>
        <w:t xml:space="preserve">We recommend prohibiting any type of arrangement where a </w:t>
      </w:r>
      <w:r w:rsidR="006F0C60">
        <w:rPr>
          <w:rFonts w:asciiTheme="minorHAnsi" w:hAnsiTheme="minorHAnsi" w:cstheme="minorHAnsi"/>
        </w:rPr>
        <w:t xml:space="preserve">physicians or other licensed </w:t>
      </w:r>
      <w:r w:rsidR="000C5EB7" w:rsidRPr="005E7DD1">
        <w:rPr>
          <w:rFonts w:asciiTheme="minorHAnsi" w:hAnsiTheme="minorHAnsi" w:cstheme="minorHAnsi"/>
        </w:rPr>
        <w:t>prescriber</w:t>
      </w:r>
      <w:r w:rsidRPr="005E7DD1">
        <w:rPr>
          <w:rFonts w:asciiTheme="minorHAnsi" w:hAnsiTheme="minorHAnsi" w:cstheme="minorHAnsi"/>
        </w:rPr>
        <w:t xml:space="preserve"> can financially benefit from encouraging the use or purchase of cannabis. Prescribers should not be making </w:t>
      </w:r>
      <w:r w:rsidR="000C5EB7" w:rsidRPr="005E7DD1">
        <w:rPr>
          <w:rFonts w:asciiTheme="minorHAnsi" w:hAnsiTheme="minorHAnsi" w:cstheme="minorHAnsi"/>
        </w:rPr>
        <w:t xml:space="preserve">recommendations for cannabis use while </w:t>
      </w:r>
      <w:r w:rsidRPr="005E7DD1">
        <w:rPr>
          <w:rFonts w:asciiTheme="minorHAnsi" w:hAnsiTheme="minorHAnsi" w:cstheme="minorHAnsi"/>
        </w:rPr>
        <w:t xml:space="preserve">also </w:t>
      </w:r>
      <w:r w:rsidR="000C5EB7" w:rsidRPr="005E7DD1">
        <w:rPr>
          <w:rFonts w:asciiTheme="minorHAnsi" w:hAnsiTheme="minorHAnsi" w:cstheme="minorHAnsi"/>
        </w:rPr>
        <w:t xml:space="preserve">being </w:t>
      </w:r>
      <w:r w:rsidRPr="005E7DD1">
        <w:rPr>
          <w:rFonts w:asciiTheme="minorHAnsi" w:hAnsiTheme="minorHAnsi" w:cstheme="minorHAnsi"/>
        </w:rPr>
        <w:t xml:space="preserve">either </w:t>
      </w:r>
      <w:r w:rsidR="000C5EB7" w:rsidRPr="005E7DD1">
        <w:rPr>
          <w:rFonts w:asciiTheme="minorHAnsi" w:hAnsiTheme="minorHAnsi" w:cstheme="minorHAnsi"/>
        </w:rPr>
        <w:t>employed by</w:t>
      </w:r>
      <w:r w:rsidRPr="005E7DD1">
        <w:rPr>
          <w:rFonts w:asciiTheme="minorHAnsi" w:hAnsiTheme="minorHAnsi" w:cstheme="minorHAnsi"/>
        </w:rPr>
        <w:t xml:space="preserve">, </w:t>
      </w:r>
      <w:r w:rsidR="006F0C60">
        <w:rPr>
          <w:rFonts w:asciiTheme="minorHAnsi" w:hAnsiTheme="minorHAnsi" w:cstheme="minorHAnsi"/>
        </w:rPr>
        <w:t xml:space="preserve">in a financial relationship with, </w:t>
      </w:r>
      <w:r w:rsidRPr="005E7DD1">
        <w:rPr>
          <w:rFonts w:asciiTheme="minorHAnsi" w:hAnsiTheme="minorHAnsi" w:cstheme="minorHAnsi"/>
        </w:rPr>
        <w:t>or an owner of,</w:t>
      </w:r>
      <w:r w:rsidR="000C5EB7" w:rsidRPr="005E7DD1">
        <w:rPr>
          <w:rFonts w:asciiTheme="minorHAnsi" w:hAnsiTheme="minorHAnsi" w:cstheme="minorHAnsi"/>
        </w:rPr>
        <w:t xml:space="preserve"> a cannabis business. Not only does this pose significant conflict of interest concerns, it also may lend unsubstantiated support to the concept that all </w:t>
      </w:r>
      <w:r w:rsidR="00F94D7B">
        <w:rPr>
          <w:rFonts w:asciiTheme="minorHAnsi" w:hAnsiTheme="minorHAnsi" w:cstheme="minorHAnsi"/>
        </w:rPr>
        <w:t>cannabis</w:t>
      </w:r>
      <w:r w:rsidR="000C5EB7" w:rsidRPr="005E7DD1">
        <w:rPr>
          <w:rFonts w:asciiTheme="minorHAnsi" w:hAnsiTheme="minorHAnsi" w:cstheme="minorHAnsi"/>
        </w:rPr>
        <w:t xml:space="preserve"> has medicinal or therapeutic properties. Conflict of interest provisions are already widely in use in the practice of medicine</w:t>
      </w:r>
      <w:r w:rsidRPr="005E7DD1">
        <w:rPr>
          <w:rFonts w:asciiTheme="minorHAnsi" w:hAnsiTheme="minorHAnsi" w:cstheme="minorHAnsi"/>
        </w:rPr>
        <w:t>, often to avoid financial gains at the expense of patient care</w:t>
      </w:r>
      <w:r w:rsidR="0017130F">
        <w:rPr>
          <w:rFonts w:asciiTheme="minorHAnsi" w:hAnsiTheme="minorHAnsi" w:cstheme="minorHAnsi"/>
        </w:rPr>
        <w:t>,</w:t>
      </w:r>
      <w:r w:rsidRPr="005E7DD1">
        <w:rPr>
          <w:rStyle w:val="FootnoteReference"/>
          <w:rFonts w:asciiTheme="minorHAnsi" w:hAnsiTheme="minorHAnsi" w:cstheme="minorHAnsi"/>
        </w:rPr>
        <w:footnoteReference w:id="101"/>
      </w:r>
      <w:r w:rsidR="000C5EB7" w:rsidRPr="005E7DD1">
        <w:rPr>
          <w:rFonts w:asciiTheme="minorHAnsi" w:hAnsiTheme="minorHAnsi" w:cstheme="minorHAnsi"/>
        </w:rPr>
        <w:t xml:space="preserve"> and should be extended to apply in the cannabis retail setting. Jurisdictions that prohibit prescribers from being on</w:t>
      </w:r>
      <w:r w:rsidR="004325F9">
        <w:rPr>
          <w:rFonts w:asciiTheme="minorHAnsi" w:hAnsiTheme="minorHAnsi" w:cstheme="minorHAnsi"/>
        </w:rPr>
        <w:t xml:space="preserve"> or in a financial relationship with</w:t>
      </w:r>
      <w:r w:rsidR="00F94D7B">
        <w:rPr>
          <w:rFonts w:asciiTheme="minorHAnsi" w:hAnsiTheme="minorHAnsi" w:cstheme="minorHAnsi"/>
        </w:rPr>
        <w:t xml:space="preserve"> </w:t>
      </w:r>
      <w:r w:rsidR="000C5EB7" w:rsidRPr="005E7DD1">
        <w:rPr>
          <w:rFonts w:asciiTheme="minorHAnsi" w:hAnsiTheme="minorHAnsi" w:cstheme="minorHAnsi"/>
        </w:rPr>
        <w:t>retail premises are awarded one point.</w:t>
      </w:r>
      <w:r w:rsidR="007A6306">
        <w:rPr>
          <w:rFonts w:asciiTheme="minorHAnsi" w:hAnsiTheme="minorHAnsi" w:cstheme="minorHAnsi"/>
        </w:rPr>
        <w:t xml:space="preserve"> </w:t>
      </w:r>
      <w:r w:rsidRPr="005E7DD1">
        <w:rPr>
          <w:rFonts w:asciiTheme="minorHAnsi" w:hAnsiTheme="minorHAnsi" w:cstheme="minorHAnsi"/>
        </w:rPr>
        <w:t>Jurisdictions that prohibit presc</w:t>
      </w:r>
      <w:r w:rsidR="00C21A9A">
        <w:rPr>
          <w:rFonts w:asciiTheme="minorHAnsi" w:hAnsiTheme="minorHAnsi" w:cstheme="minorHAnsi"/>
        </w:rPr>
        <w:t>r</w:t>
      </w:r>
      <w:r w:rsidRPr="005E7DD1">
        <w:rPr>
          <w:rFonts w:asciiTheme="minorHAnsi" w:hAnsiTheme="minorHAnsi" w:cstheme="minorHAnsi"/>
        </w:rPr>
        <w:t>ibers in ownership</w:t>
      </w:r>
      <w:r w:rsidR="009D3804">
        <w:rPr>
          <w:rFonts w:asciiTheme="minorHAnsi" w:hAnsiTheme="minorHAnsi" w:cstheme="minorHAnsi"/>
        </w:rPr>
        <w:t xml:space="preserve"> or from having any financial incentives (kickbacks) for prescribing or sending patients cannabis businesses of any kind</w:t>
      </w:r>
      <w:r w:rsidRPr="005E7DD1">
        <w:rPr>
          <w:rFonts w:asciiTheme="minorHAnsi" w:hAnsiTheme="minorHAnsi" w:cstheme="minorHAnsi"/>
        </w:rPr>
        <w:t xml:space="preserve"> are also awarded one point. </w:t>
      </w:r>
    </w:p>
    <w:p w14:paraId="6B9C52C1" w14:textId="43EE1CF6" w:rsidR="00DE1E77" w:rsidRPr="005E7DD1" w:rsidRDefault="00DE1E77" w:rsidP="00DE1E77">
      <w:pPr>
        <w:rPr>
          <w:rFonts w:asciiTheme="minorHAnsi" w:hAnsiTheme="minorHAnsi" w:cstheme="minorHAnsi"/>
        </w:rPr>
      </w:pPr>
    </w:p>
    <w:sectPr w:rsidR="00DE1E77" w:rsidRPr="005E7DD1" w:rsidSect="000C48E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4A9A" w14:textId="77777777" w:rsidR="00566DB7" w:rsidRDefault="00566DB7" w:rsidP="00DE1E77">
      <w:r>
        <w:separator/>
      </w:r>
    </w:p>
  </w:endnote>
  <w:endnote w:type="continuationSeparator" w:id="0">
    <w:p w14:paraId="207F43F4" w14:textId="77777777" w:rsidR="00566DB7" w:rsidRDefault="00566DB7" w:rsidP="00DE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6567529"/>
      <w:docPartObj>
        <w:docPartGallery w:val="Page Numbers (Bottom of Page)"/>
        <w:docPartUnique/>
      </w:docPartObj>
    </w:sdtPr>
    <w:sdtEndPr>
      <w:rPr>
        <w:rStyle w:val="PageNumber"/>
      </w:rPr>
    </w:sdtEndPr>
    <w:sdtContent>
      <w:p w14:paraId="61D1E22B" w14:textId="32E3781F" w:rsidR="00FB0E78" w:rsidRDefault="00FB0E78" w:rsidP="00311D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2EF09F" w14:textId="77777777" w:rsidR="00FB0E78" w:rsidRDefault="00FB0E78" w:rsidP="002C71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3101610"/>
      <w:docPartObj>
        <w:docPartGallery w:val="Page Numbers (Bottom of Page)"/>
        <w:docPartUnique/>
      </w:docPartObj>
    </w:sdtPr>
    <w:sdtEndPr>
      <w:rPr>
        <w:rStyle w:val="PageNumber"/>
      </w:rPr>
    </w:sdtEndPr>
    <w:sdtContent>
      <w:p w14:paraId="3864D302" w14:textId="7C4065D9" w:rsidR="00FB0E78" w:rsidRDefault="00FB0E78" w:rsidP="00311D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4E8C30" w14:textId="77777777" w:rsidR="00FB0E78" w:rsidRDefault="00FB0E78" w:rsidP="002C71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17E23" w14:textId="77777777" w:rsidR="00566DB7" w:rsidRDefault="00566DB7" w:rsidP="00DE1E77">
      <w:r>
        <w:separator/>
      </w:r>
    </w:p>
  </w:footnote>
  <w:footnote w:type="continuationSeparator" w:id="0">
    <w:p w14:paraId="25C2BB1F" w14:textId="77777777" w:rsidR="00566DB7" w:rsidRDefault="00566DB7" w:rsidP="00DE1E77">
      <w:r>
        <w:continuationSeparator/>
      </w:r>
    </w:p>
  </w:footnote>
  <w:footnote w:id="1">
    <w:p w14:paraId="67B45FBB" w14:textId="77777777" w:rsidR="00FB0E78" w:rsidRPr="00B548CD" w:rsidRDefault="00FB0E78" w:rsidP="00DE1E77">
      <w:pPr>
        <w:pStyle w:val="FootnoteText"/>
        <w:rPr>
          <w:rFonts w:cstheme="minorHAnsi"/>
          <w:sz w:val="18"/>
          <w:szCs w:val="18"/>
        </w:rPr>
      </w:pPr>
      <w:r w:rsidRPr="00B548CD">
        <w:rPr>
          <w:rStyle w:val="FootnoteReference"/>
        </w:rPr>
        <w:footnoteRef/>
      </w:r>
      <w:r w:rsidRPr="00B548CD">
        <w:t xml:space="preserve"> </w:t>
      </w:r>
      <w:r w:rsidRPr="00B548CD">
        <w:rPr>
          <w:rFonts w:cstheme="minorHAnsi"/>
          <w:sz w:val="18"/>
          <w:szCs w:val="18"/>
        </w:rPr>
        <w:t xml:space="preserve">The Health Effects of Cannabis and Cannabinoids: The Current State of Evidence and Recommendations for Research, The National Academies Press. </w:t>
      </w:r>
      <w:hyperlink r:id="rId1" w:history="1">
        <w:r w:rsidRPr="00B548CD">
          <w:rPr>
            <w:rStyle w:val="Hyperlink"/>
            <w:rFonts w:cstheme="minorHAnsi"/>
            <w:color w:val="auto"/>
            <w:sz w:val="18"/>
            <w:szCs w:val="18"/>
          </w:rPr>
          <w:t>https://www.nap.edu/catalog/24625/the-health-effects-of-cannabis-and-cannabinoids-the-current-state</w:t>
        </w:r>
      </w:hyperlink>
      <w:r w:rsidRPr="00B548CD">
        <w:rPr>
          <w:rFonts w:cstheme="minorHAnsi"/>
          <w:sz w:val="18"/>
          <w:szCs w:val="18"/>
        </w:rPr>
        <w:t>, Accessed Jan. 11, 2019.</w:t>
      </w:r>
    </w:p>
  </w:footnote>
  <w:footnote w:id="2">
    <w:p w14:paraId="0DC973F0" w14:textId="77777777" w:rsidR="00FB0E78" w:rsidRPr="00B548CD" w:rsidRDefault="00FB0E78" w:rsidP="00DE1E77">
      <w:pPr>
        <w:pStyle w:val="FootnoteText"/>
        <w:rPr>
          <w:rFonts w:cstheme="minorHAnsi"/>
          <w:sz w:val="18"/>
          <w:szCs w:val="18"/>
        </w:rPr>
      </w:pPr>
      <w:r w:rsidRPr="00B548CD">
        <w:rPr>
          <w:rStyle w:val="FootnoteReference"/>
          <w:rFonts w:cstheme="minorHAnsi"/>
          <w:sz w:val="18"/>
          <w:szCs w:val="18"/>
        </w:rPr>
        <w:footnoteRef/>
      </w:r>
      <w:r w:rsidRPr="00B548CD">
        <w:rPr>
          <w:rFonts w:cstheme="minorHAnsi"/>
          <w:sz w:val="18"/>
          <w:szCs w:val="18"/>
        </w:rPr>
        <w:t xml:space="preserve"> </w:t>
      </w:r>
      <w:proofErr w:type="spellStart"/>
      <w:r w:rsidRPr="00B548CD">
        <w:rPr>
          <w:rFonts w:cstheme="minorHAnsi"/>
          <w:sz w:val="18"/>
          <w:szCs w:val="18"/>
        </w:rPr>
        <w:t>Budney</w:t>
      </w:r>
      <w:proofErr w:type="spellEnd"/>
      <w:r w:rsidRPr="00B548CD">
        <w:rPr>
          <w:rFonts w:cstheme="minorHAnsi"/>
          <w:sz w:val="18"/>
          <w:szCs w:val="18"/>
        </w:rPr>
        <w:t xml:space="preserve">, AJ., </w:t>
      </w:r>
      <w:proofErr w:type="spellStart"/>
      <w:r w:rsidRPr="00B548CD">
        <w:rPr>
          <w:rFonts w:cstheme="minorHAnsi"/>
          <w:sz w:val="18"/>
          <w:szCs w:val="18"/>
        </w:rPr>
        <w:t>Borodovsky</w:t>
      </w:r>
      <w:proofErr w:type="spellEnd"/>
      <w:r w:rsidRPr="00B548CD">
        <w:rPr>
          <w:rFonts w:cstheme="minorHAnsi"/>
          <w:sz w:val="18"/>
          <w:szCs w:val="18"/>
        </w:rPr>
        <w:t xml:space="preserve">, JT, The potential impact of cannabis legalization on the development of cannabis use disorders, </w:t>
      </w:r>
      <w:proofErr w:type="spellStart"/>
      <w:r w:rsidRPr="00B548CD">
        <w:rPr>
          <w:rFonts w:cstheme="minorHAnsi"/>
          <w:i/>
          <w:sz w:val="18"/>
          <w:szCs w:val="18"/>
        </w:rPr>
        <w:t>Prev</w:t>
      </w:r>
      <w:proofErr w:type="spellEnd"/>
      <w:r w:rsidRPr="00B548CD">
        <w:rPr>
          <w:rFonts w:cstheme="minorHAnsi"/>
          <w:i/>
          <w:sz w:val="18"/>
          <w:szCs w:val="18"/>
        </w:rPr>
        <w:t xml:space="preserve"> Med.</w:t>
      </w:r>
      <w:r w:rsidRPr="00B548CD">
        <w:rPr>
          <w:rFonts w:cstheme="minorHAnsi"/>
          <w:sz w:val="18"/>
          <w:szCs w:val="18"/>
        </w:rPr>
        <w:t xml:space="preserve"> 2017 Nov; 104: 31-36.</w:t>
      </w:r>
    </w:p>
  </w:footnote>
  <w:footnote w:id="3">
    <w:p w14:paraId="66D62A33" w14:textId="0A491813" w:rsidR="00FB0E78" w:rsidRPr="005E7DD1" w:rsidRDefault="00FB0E78" w:rsidP="00DE2641">
      <w:r w:rsidRPr="00B548CD">
        <w:rPr>
          <w:rStyle w:val="FootnoteReference"/>
          <w:rFonts w:asciiTheme="minorHAnsi" w:hAnsiTheme="minorHAnsi" w:cstheme="minorHAnsi"/>
          <w:sz w:val="18"/>
          <w:szCs w:val="18"/>
        </w:rPr>
        <w:footnoteRef/>
      </w:r>
      <w:r w:rsidRPr="00B548CD">
        <w:rPr>
          <w:rFonts w:asciiTheme="minorHAnsi" w:hAnsiTheme="minorHAnsi" w:cstheme="minorHAnsi"/>
          <w:sz w:val="18"/>
          <w:szCs w:val="18"/>
        </w:rPr>
        <w:t xml:space="preserve"> </w:t>
      </w:r>
      <w:r w:rsidRPr="00B548CD">
        <w:rPr>
          <w:rFonts w:asciiTheme="minorHAnsi" w:hAnsiTheme="minorHAnsi" w:cstheme="minorHAnsi"/>
          <w:sz w:val="18"/>
          <w:szCs w:val="18"/>
          <w:shd w:val="clear" w:color="auto" w:fill="FFFFFF"/>
        </w:rPr>
        <w:t>Center for Public Health Systems Science. </w:t>
      </w:r>
      <w:hyperlink r:id="rId2" w:tgtFrame="_blank" w:history="1">
        <w:r w:rsidRPr="00B548CD">
          <w:rPr>
            <w:rStyle w:val="Hyperlink"/>
            <w:rFonts w:asciiTheme="minorHAnsi" w:hAnsiTheme="minorHAnsi" w:cstheme="minorHAnsi"/>
            <w:color w:val="auto"/>
            <w:sz w:val="18"/>
            <w:szCs w:val="18"/>
            <w:shd w:val="clear" w:color="auto" w:fill="FFFFFF"/>
          </w:rPr>
          <w:t>Point-of-Sale Strategies: A Tobacco Control Guide </w:t>
        </w:r>
        <w:r w:rsidRPr="00B548CD">
          <w:rPr>
            <w:rStyle w:val="sr-only"/>
            <w:rFonts w:asciiTheme="minorHAnsi" w:hAnsiTheme="minorHAnsi" w:cstheme="minorHAnsi"/>
            <w:sz w:val="18"/>
            <w:szCs w:val="18"/>
            <w:u w:val="single"/>
            <w:bdr w:val="none" w:sz="0" w:space="0" w:color="auto" w:frame="1"/>
            <w:shd w:val="clear" w:color="auto" w:fill="FFFFFF"/>
          </w:rPr>
          <w:t>pdf icon</w:t>
        </w:r>
        <w:r w:rsidRPr="00B548CD">
          <w:rPr>
            <w:rStyle w:val="file-details"/>
            <w:rFonts w:asciiTheme="minorHAnsi" w:hAnsiTheme="minorHAnsi" w:cstheme="minorHAnsi"/>
            <w:sz w:val="18"/>
            <w:szCs w:val="18"/>
            <w:shd w:val="clear" w:color="auto" w:fill="FFFFFF"/>
          </w:rPr>
          <w:t>[PDF–15.6 MB]</w:t>
        </w:r>
        <w:r w:rsidRPr="00B548CD">
          <w:rPr>
            <w:rStyle w:val="sr-only"/>
            <w:rFonts w:asciiTheme="minorHAnsi" w:hAnsiTheme="minorHAnsi" w:cstheme="minorHAnsi"/>
            <w:sz w:val="18"/>
            <w:szCs w:val="18"/>
            <w:u w:val="single"/>
            <w:bdr w:val="none" w:sz="0" w:space="0" w:color="auto" w:frame="1"/>
            <w:shd w:val="clear" w:color="auto" w:fill="FFFFFF"/>
          </w:rPr>
          <w:t>external icon</w:t>
        </w:r>
      </w:hyperlink>
      <w:r w:rsidRPr="00B548CD">
        <w:rPr>
          <w:rFonts w:asciiTheme="minorHAnsi" w:hAnsiTheme="minorHAnsi" w:cstheme="minorHAnsi"/>
          <w:sz w:val="18"/>
          <w:szCs w:val="18"/>
          <w:shd w:val="clear" w:color="auto" w:fill="FFFFFF"/>
        </w:rPr>
        <w:t>. St. Louis: Center for Public Health Systems Science, George Warren Brown School of Social Work at Washington University in St. Louis and the Tobacco Control Legal Consortium, 2014 [accessed 2019 Dec 9].</w:t>
      </w:r>
    </w:p>
  </w:footnote>
  <w:footnote w:id="4">
    <w:p w14:paraId="53950D2D" w14:textId="33BE4D9F" w:rsidR="008C70EE" w:rsidRPr="008C70EE" w:rsidRDefault="008C70EE" w:rsidP="008C70EE">
      <w:pPr>
        <w:rPr>
          <w:rFonts w:ascii="Helvetica" w:hAnsi="Helvetica"/>
          <w:color w:val="000000"/>
          <w:sz w:val="27"/>
          <w:szCs w:val="27"/>
        </w:rPr>
      </w:pPr>
      <w:r w:rsidRPr="008C70EE">
        <w:rPr>
          <w:rStyle w:val="FootnoteReference"/>
          <w:rFonts w:asciiTheme="minorHAnsi" w:hAnsiTheme="minorHAnsi" w:cstheme="minorHAnsi"/>
          <w:sz w:val="18"/>
          <w:szCs w:val="18"/>
        </w:rPr>
        <w:footnoteRef/>
      </w:r>
      <w:r w:rsidRPr="008C70EE">
        <w:rPr>
          <w:rFonts w:asciiTheme="minorHAnsi" w:hAnsiTheme="minorHAnsi" w:cstheme="minorHAnsi"/>
          <w:sz w:val="18"/>
          <w:szCs w:val="18"/>
        </w:rPr>
        <w:t xml:space="preserve"> </w:t>
      </w:r>
      <w:r w:rsidRPr="008C70EE">
        <w:rPr>
          <w:rFonts w:asciiTheme="minorHAnsi" w:hAnsiTheme="minorHAnsi" w:cstheme="minorHAnsi"/>
          <w:color w:val="000000"/>
          <w:sz w:val="18"/>
          <w:szCs w:val="18"/>
        </w:rPr>
        <w:t xml:space="preserve">McCarthy WJ, Mistry R, Lu Y, Patel M, Zheng H, </w:t>
      </w:r>
      <w:proofErr w:type="spellStart"/>
      <w:r w:rsidRPr="008C70EE">
        <w:rPr>
          <w:rFonts w:asciiTheme="minorHAnsi" w:hAnsiTheme="minorHAnsi" w:cstheme="minorHAnsi"/>
          <w:color w:val="000000"/>
          <w:sz w:val="18"/>
          <w:szCs w:val="18"/>
        </w:rPr>
        <w:t>Dietsch</w:t>
      </w:r>
      <w:proofErr w:type="spellEnd"/>
      <w:r w:rsidRPr="008C70EE">
        <w:rPr>
          <w:rFonts w:asciiTheme="minorHAnsi" w:hAnsiTheme="minorHAnsi" w:cstheme="minorHAnsi"/>
          <w:color w:val="000000"/>
          <w:sz w:val="18"/>
          <w:szCs w:val="18"/>
        </w:rPr>
        <w:t xml:space="preserve"> B. Density of tobacco retailers near schools: effects on tobacco use among students. </w:t>
      </w:r>
      <w:r w:rsidRPr="008C70EE">
        <w:rPr>
          <w:rFonts w:asciiTheme="minorHAnsi" w:hAnsiTheme="minorHAnsi" w:cstheme="minorHAnsi"/>
          <w:i/>
          <w:iCs/>
          <w:color w:val="000000"/>
          <w:sz w:val="18"/>
          <w:szCs w:val="18"/>
        </w:rPr>
        <w:t>Am J Public Health</w:t>
      </w:r>
      <w:r w:rsidRPr="008C70EE">
        <w:rPr>
          <w:rFonts w:asciiTheme="minorHAnsi" w:hAnsiTheme="minorHAnsi" w:cstheme="minorHAnsi"/>
          <w:color w:val="000000"/>
          <w:sz w:val="18"/>
          <w:szCs w:val="18"/>
        </w:rPr>
        <w:t>. 2009;99(11):2006-2013. doi:10.2105/AJPH.2008.145128.</w:t>
      </w:r>
    </w:p>
  </w:footnote>
  <w:footnote w:id="5">
    <w:p w14:paraId="46C1B944" w14:textId="31694FFA" w:rsidR="008C70EE" w:rsidRPr="008C70EE" w:rsidRDefault="008C70EE" w:rsidP="008C70EE">
      <w:pPr>
        <w:rPr>
          <w:rFonts w:asciiTheme="minorHAnsi" w:hAnsiTheme="minorHAnsi" w:cstheme="minorHAnsi"/>
          <w:sz w:val="18"/>
          <w:szCs w:val="18"/>
        </w:rPr>
      </w:pPr>
      <w:r w:rsidRPr="008C70EE">
        <w:rPr>
          <w:rStyle w:val="FootnoteReference"/>
          <w:rFonts w:asciiTheme="minorHAnsi" w:hAnsiTheme="minorHAnsi" w:cstheme="minorHAnsi"/>
          <w:sz w:val="18"/>
          <w:szCs w:val="18"/>
        </w:rPr>
        <w:footnoteRef/>
      </w:r>
      <w:r w:rsidRPr="008C70EE">
        <w:rPr>
          <w:rFonts w:asciiTheme="minorHAnsi" w:hAnsiTheme="minorHAnsi" w:cstheme="minorHAnsi"/>
          <w:sz w:val="18"/>
          <w:szCs w:val="18"/>
        </w:rPr>
        <w:t xml:space="preserve"> </w:t>
      </w:r>
      <w:proofErr w:type="spellStart"/>
      <w:r w:rsidRPr="008C70EE">
        <w:rPr>
          <w:rFonts w:asciiTheme="minorHAnsi" w:hAnsiTheme="minorHAnsi" w:cstheme="minorHAnsi"/>
          <w:color w:val="000000"/>
          <w:sz w:val="18"/>
          <w:szCs w:val="18"/>
        </w:rPr>
        <w:t>Borodovsky</w:t>
      </w:r>
      <w:proofErr w:type="spellEnd"/>
      <w:r w:rsidRPr="008C70EE">
        <w:rPr>
          <w:rFonts w:asciiTheme="minorHAnsi" w:hAnsiTheme="minorHAnsi" w:cstheme="minorHAnsi"/>
          <w:color w:val="000000"/>
          <w:sz w:val="18"/>
          <w:szCs w:val="18"/>
        </w:rPr>
        <w:t xml:space="preserve"> JT, Lee DC, Crosier BS, </w:t>
      </w:r>
      <w:proofErr w:type="spellStart"/>
      <w:r w:rsidRPr="008C70EE">
        <w:rPr>
          <w:rFonts w:asciiTheme="minorHAnsi" w:hAnsiTheme="minorHAnsi" w:cstheme="minorHAnsi"/>
          <w:color w:val="000000"/>
          <w:sz w:val="18"/>
          <w:szCs w:val="18"/>
        </w:rPr>
        <w:t>Gabrielli</w:t>
      </w:r>
      <w:proofErr w:type="spellEnd"/>
      <w:r w:rsidRPr="008C70EE">
        <w:rPr>
          <w:rFonts w:asciiTheme="minorHAnsi" w:hAnsiTheme="minorHAnsi" w:cstheme="minorHAnsi"/>
          <w:color w:val="000000"/>
          <w:sz w:val="18"/>
          <w:szCs w:val="18"/>
        </w:rPr>
        <w:t xml:space="preserve"> JL, Sargent JD, </w:t>
      </w:r>
      <w:proofErr w:type="spellStart"/>
      <w:r w:rsidRPr="008C70EE">
        <w:rPr>
          <w:rFonts w:asciiTheme="minorHAnsi" w:hAnsiTheme="minorHAnsi" w:cstheme="minorHAnsi"/>
          <w:color w:val="000000"/>
          <w:sz w:val="18"/>
          <w:szCs w:val="18"/>
        </w:rPr>
        <w:t>Budney</w:t>
      </w:r>
      <w:proofErr w:type="spellEnd"/>
      <w:r w:rsidRPr="008C70EE">
        <w:rPr>
          <w:rFonts w:asciiTheme="minorHAnsi" w:hAnsiTheme="minorHAnsi" w:cstheme="minorHAnsi"/>
          <w:color w:val="000000"/>
          <w:sz w:val="18"/>
          <w:szCs w:val="18"/>
        </w:rPr>
        <w:t xml:space="preserve"> AJ. U.S. cannabis legalization and use of vaping and edible products among youth. </w:t>
      </w:r>
      <w:r w:rsidRPr="008C70EE">
        <w:rPr>
          <w:rFonts w:asciiTheme="minorHAnsi" w:hAnsiTheme="minorHAnsi" w:cstheme="minorHAnsi"/>
          <w:i/>
          <w:iCs/>
          <w:color w:val="000000"/>
          <w:sz w:val="18"/>
          <w:szCs w:val="18"/>
        </w:rPr>
        <w:t>Drug Alcohol Depend</w:t>
      </w:r>
      <w:r w:rsidRPr="008C70EE">
        <w:rPr>
          <w:rFonts w:asciiTheme="minorHAnsi" w:hAnsiTheme="minorHAnsi" w:cstheme="minorHAnsi"/>
          <w:color w:val="000000"/>
          <w:sz w:val="18"/>
          <w:szCs w:val="18"/>
        </w:rPr>
        <w:t xml:space="preserve">. 2017;0(0). </w:t>
      </w:r>
      <w:proofErr w:type="gramStart"/>
      <w:r w:rsidRPr="008C70EE">
        <w:rPr>
          <w:rFonts w:asciiTheme="minorHAnsi" w:hAnsiTheme="minorHAnsi" w:cstheme="minorHAnsi"/>
          <w:color w:val="000000"/>
          <w:sz w:val="18"/>
          <w:szCs w:val="18"/>
        </w:rPr>
        <w:t>doi:10.1016/j.drugalcdep</w:t>
      </w:r>
      <w:proofErr w:type="gramEnd"/>
      <w:r w:rsidRPr="008C70EE">
        <w:rPr>
          <w:rFonts w:asciiTheme="minorHAnsi" w:hAnsiTheme="minorHAnsi" w:cstheme="minorHAnsi"/>
          <w:color w:val="000000"/>
          <w:sz w:val="18"/>
          <w:szCs w:val="18"/>
        </w:rPr>
        <w:t>.2017.02.017</w:t>
      </w:r>
    </w:p>
  </w:footnote>
  <w:footnote w:id="6">
    <w:p w14:paraId="6E51D5AF" w14:textId="66802576" w:rsidR="00FB0E78" w:rsidRDefault="00FB0E78">
      <w:pPr>
        <w:pStyle w:val="FootnoteText"/>
      </w:pPr>
      <w:r>
        <w:rPr>
          <w:rStyle w:val="FootnoteReference"/>
        </w:rPr>
        <w:footnoteRef/>
      </w:r>
      <w:r>
        <w:t xml:space="preserve"> </w:t>
      </w:r>
      <w:r w:rsidRPr="00B548CD">
        <w:rPr>
          <w:rFonts w:cstheme="minorHAnsi"/>
          <w:sz w:val="18"/>
          <w:szCs w:val="18"/>
        </w:rPr>
        <w:t xml:space="preserve">The Health Effects of Cannabis and Cannabinoids: The Current State of Evidence and Recommendations for Research, The National Academies Press. </w:t>
      </w:r>
      <w:hyperlink r:id="rId3" w:history="1">
        <w:r w:rsidRPr="00B548CD">
          <w:rPr>
            <w:rStyle w:val="Hyperlink"/>
            <w:rFonts w:cstheme="minorHAnsi"/>
            <w:color w:val="auto"/>
            <w:sz w:val="18"/>
            <w:szCs w:val="18"/>
          </w:rPr>
          <w:t>https://www.nap.edu/catalog/24625/the-health-effects-of-cannabis-and-cannabinoids-the-current-state</w:t>
        </w:r>
      </w:hyperlink>
      <w:r w:rsidRPr="00B548CD">
        <w:rPr>
          <w:rFonts w:cstheme="minorHAnsi"/>
          <w:sz w:val="18"/>
          <w:szCs w:val="18"/>
        </w:rPr>
        <w:t>, Accessed Jan. 11, 2019.</w:t>
      </w:r>
    </w:p>
  </w:footnote>
  <w:footnote w:id="7">
    <w:p w14:paraId="2B9CBBA2" w14:textId="66C00863" w:rsidR="00FB0E78" w:rsidRPr="005E7DD1" w:rsidRDefault="00FB0E78" w:rsidP="00201841">
      <w:pPr>
        <w:rPr>
          <w:rFonts w:asciiTheme="minorHAnsi" w:hAnsiTheme="minorHAnsi" w:cstheme="minorHAnsi"/>
          <w:sz w:val="18"/>
          <w:szCs w:val="18"/>
        </w:rPr>
      </w:pPr>
      <w:r w:rsidRPr="005E7DD1">
        <w:rPr>
          <w:rStyle w:val="FootnoteReference"/>
          <w:rFonts w:asciiTheme="minorHAnsi" w:hAnsiTheme="minorHAnsi" w:cstheme="minorHAnsi"/>
          <w:sz w:val="18"/>
          <w:szCs w:val="18"/>
        </w:rPr>
        <w:footnoteRef/>
      </w:r>
      <w:r w:rsidRPr="005E7DD1">
        <w:rPr>
          <w:rFonts w:asciiTheme="minorHAnsi" w:hAnsiTheme="minorHAnsi" w:cstheme="minorHAnsi"/>
          <w:sz w:val="18"/>
          <w:szCs w:val="18"/>
        </w:rPr>
        <w:t xml:space="preserve"> </w:t>
      </w:r>
      <w:r w:rsidRPr="00AA18A0">
        <w:rPr>
          <w:rFonts w:asciiTheme="minorHAnsi" w:hAnsiTheme="minorHAnsi" w:cstheme="minorHAnsi"/>
          <w:color w:val="000000" w:themeColor="text1"/>
          <w:sz w:val="18"/>
          <w:szCs w:val="18"/>
        </w:rPr>
        <w:t xml:space="preserve">Available at: </w:t>
      </w:r>
      <w:hyperlink r:id="rId4" w:history="1">
        <w:r w:rsidRPr="00AA18A0">
          <w:rPr>
            <w:rStyle w:val="Hyperlink"/>
            <w:rFonts w:asciiTheme="minorHAnsi" w:hAnsiTheme="minorHAnsi" w:cstheme="minorHAnsi"/>
            <w:color w:val="000000" w:themeColor="text1"/>
            <w:sz w:val="18"/>
            <w:szCs w:val="18"/>
          </w:rPr>
          <w:t>https://www.gettingitrightfromthestart.org/our-work-1</w:t>
        </w:r>
      </w:hyperlink>
    </w:p>
    <w:p w14:paraId="7070063B" w14:textId="12C2040F" w:rsidR="00FB0E78" w:rsidRPr="005E7DD1" w:rsidRDefault="00FB0E78">
      <w:pPr>
        <w:pStyle w:val="FootnoteText"/>
        <w:rPr>
          <w:rFonts w:cstheme="minorHAnsi"/>
          <w:sz w:val="18"/>
          <w:szCs w:val="18"/>
        </w:rPr>
      </w:pPr>
    </w:p>
  </w:footnote>
  <w:footnote w:id="8">
    <w:p w14:paraId="20D25879" w14:textId="2FA0A439" w:rsidR="00FB0E78" w:rsidRPr="005E7DD1" w:rsidRDefault="00FB0E78">
      <w:pPr>
        <w:pStyle w:val="FootnoteText"/>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American Lung Association in California, The Center for Tobacco Policy &amp; Organizing. </w:t>
      </w:r>
      <w:r w:rsidRPr="005E7DD1">
        <w:rPr>
          <w:rFonts w:cstheme="minorHAnsi"/>
          <w:i/>
          <w:iCs/>
          <w:sz w:val="18"/>
          <w:szCs w:val="18"/>
        </w:rPr>
        <w:t>Tobacco Retailer Licensing Is Effective</w:t>
      </w:r>
      <w:r w:rsidRPr="005E7DD1">
        <w:rPr>
          <w:rFonts w:cstheme="minorHAnsi"/>
          <w:sz w:val="18"/>
          <w:szCs w:val="18"/>
        </w:rPr>
        <w:t>.; 2013. http://center4tobaccopolicy.org/tobacco-policy/tobacco-retail-environment/. Accessed September 19, 2017.</w:t>
      </w:r>
    </w:p>
  </w:footnote>
  <w:footnote w:id="9">
    <w:p w14:paraId="047A65E0" w14:textId="04E03EF1" w:rsidR="00FB0E78" w:rsidRPr="005E7DD1" w:rsidRDefault="00FB0E78">
      <w:pPr>
        <w:pStyle w:val="FootnoteText"/>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Henriksen L, </w:t>
      </w:r>
      <w:proofErr w:type="spellStart"/>
      <w:r w:rsidRPr="005E7DD1">
        <w:rPr>
          <w:rFonts w:cstheme="minorHAnsi"/>
          <w:sz w:val="18"/>
          <w:szCs w:val="18"/>
        </w:rPr>
        <w:t>Feighery</w:t>
      </w:r>
      <w:proofErr w:type="spellEnd"/>
      <w:r w:rsidRPr="005E7DD1">
        <w:rPr>
          <w:rFonts w:cstheme="minorHAnsi"/>
          <w:sz w:val="18"/>
          <w:szCs w:val="18"/>
        </w:rPr>
        <w:t xml:space="preserve"> EC, Schleicher NC, Cowling DW, Kline RS, </w:t>
      </w:r>
      <w:proofErr w:type="spellStart"/>
      <w:r w:rsidRPr="005E7DD1">
        <w:rPr>
          <w:rFonts w:cstheme="minorHAnsi"/>
          <w:sz w:val="18"/>
          <w:szCs w:val="18"/>
        </w:rPr>
        <w:t>Fortmann</w:t>
      </w:r>
      <w:proofErr w:type="spellEnd"/>
      <w:r w:rsidRPr="005E7DD1">
        <w:rPr>
          <w:rFonts w:cstheme="minorHAnsi"/>
          <w:sz w:val="18"/>
          <w:szCs w:val="18"/>
        </w:rPr>
        <w:t xml:space="preserve"> SP. Is adolescent smoking related to the density and proximity of tobacco outlets and retail cigarette advertising near schools? </w:t>
      </w:r>
      <w:proofErr w:type="spellStart"/>
      <w:r w:rsidRPr="005E7DD1">
        <w:rPr>
          <w:rFonts w:cstheme="minorHAnsi"/>
          <w:i/>
          <w:iCs/>
          <w:sz w:val="18"/>
          <w:szCs w:val="18"/>
        </w:rPr>
        <w:t>Prev</w:t>
      </w:r>
      <w:proofErr w:type="spellEnd"/>
      <w:r w:rsidRPr="005E7DD1">
        <w:rPr>
          <w:rFonts w:cstheme="minorHAnsi"/>
          <w:i/>
          <w:iCs/>
          <w:sz w:val="18"/>
          <w:szCs w:val="18"/>
        </w:rPr>
        <w:t xml:space="preserve"> Med</w:t>
      </w:r>
      <w:r w:rsidRPr="005E7DD1">
        <w:rPr>
          <w:rFonts w:cstheme="minorHAnsi"/>
          <w:sz w:val="18"/>
          <w:szCs w:val="18"/>
        </w:rPr>
        <w:t>. 2008;47(2):210-214. doi:10.1016/j.ypmed.2008.04.008.</w:t>
      </w:r>
    </w:p>
  </w:footnote>
  <w:footnote w:id="10">
    <w:p w14:paraId="31F7D6BB" w14:textId="0907AE4A" w:rsidR="00FB0E78" w:rsidRPr="005E7DD1" w:rsidRDefault="00FB0E78">
      <w:pPr>
        <w:pStyle w:val="FootnoteText"/>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McCarthy WJ, Mistry R, Lu Y, Patel M, Zheng H, </w:t>
      </w:r>
      <w:proofErr w:type="spellStart"/>
      <w:r w:rsidRPr="005E7DD1">
        <w:rPr>
          <w:rFonts w:cstheme="minorHAnsi"/>
          <w:sz w:val="18"/>
          <w:szCs w:val="18"/>
        </w:rPr>
        <w:t>Dietsch</w:t>
      </w:r>
      <w:proofErr w:type="spellEnd"/>
      <w:r w:rsidRPr="005E7DD1">
        <w:rPr>
          <w:rFonts w:cstheme="minorHAnsi"/>
          <w:sz w:val="18"/>
          <w:szCs w:val="18"/>
        </w:rPr>
        <w:t xml:space="preserve"> B. Density of tobacco retailers near schools: effects on tobacco use among students. </w:t>
      </w:r>
      <w:r w:rsidRPr="005E7DD1">
        <w:rPr>
          <w:rFonts w:cstheme="minorHAnsi"/>
          <w:i/>
          <w:iCs/>
          <w:sz w:val="18"/>
          <w:szCs w:val="18"/>
        </w:rPr>
        <w:t>Am J Public Health</w:t>
      </w:r>
      <w:r w:rsidRPr="005E7DD1">
        <w:rPr>
          <w:rFonts w:cstheme="minorHAnsi"/>
          <w:sz w:val="18"/>
          <w:szCs w:val="18"/>
        </w:rPr>
        <w:t>. 2009;99(11):2006-2013. doi:10.2105/AJPH.2008.145128</w:t>
      </w:r>
    </w:p>
  </w:footnote>
  <w:footnote w:id="11">
    <w:p w14:paraId="2C8FF460" w14:textId="61BC220A" w:rsidR="00FB0E78" w:rsidRPr="005E7DD1" w:rsidRDefault="00FB0E78">
      <w:pPr>
        <w:pStyle w:val="FootnoteText"/>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w:t>
      </w:r>
      <w:proofErr w:type="spellStart"/>
      <w:r w:rsidRPr="005E7DD1">
        <w:rPr>
          <w:rFonts w:cstheme="minorHAnsi"/>
          <w:sz w:val="18"/>
          <w:szCs w:val="18"/>
        </w:rPr>
        <w:t>Borodovsky</w:t>
      </w:r>
      <w:proofErr w:type="spellEnd"/>
      <w:r w:rsidRPr="005E7DD1">
        <w:rPr>
          <w:rFonts w:cstheme="minorHAnsi"/>
          <w:sz w:val="18"/>
          <w:szCs w:val="18"/>
        </w:rPr>
        <w:t xml:space="preserve"> JT, Lee DC, Crosier BS, </w:t>
      </w:r>
      <w:proofErr w:type="spellStart"/>
      <w:r w:rsidRPr="005E7DD1">
        <w:rPr>
          <w:rFonts w:cstheme="minorHAnsi"/>
          <w:sz w:val="18"/>
          <w:szCs w:val="18"/>
        </w:rPr>
        <w:t>Gabrielli</w:t>
      </w:r>
      <w:proofErr w:type="spellEnd"/>
      <w:r w:rsidRPr="005E7DD1">
        <w:rPr>
          <w:rFonts w:cstheme="minorHAnsi"/>
          <w:sz w:val="18"/>
          <w:szCs w:val="18"/>
        </w:rPr>
        <w:t xml:space="preserve"> JL, Sargent JD, </w:t>
      </w:r>
      <w:proofErr w:type="spellStart"/>
      <w:r w:rsidRPr="005E7DD1">
        <w:rPr>
          <w:rFonts w:cstheme="minorHAnsi"/>
          <w:sz w:val="18"/>
          <w:szCs w:val="18"/>
        </w:rPr>
        <w:t>Budney</w:t>
      </w:r>
      <w:proofErr w:type="spellEnd"/>
      <w:r w:rsidRPr="005E7DD1">
        <w:rPr>
          <w:rFonts w:cstheme="minorHAnsi"/>
          <w:sz w:val="18"/>
          <w:szCs w:val="18"/>
        </w:rPr>
        <w:t xml:space="preserve"> AJ. U.S. cannabis legalization and use of vaping and edible products among youth. </w:t>
      </w:r>
      <w:r w:rsidRPr="005E7DD1">
        <w:rPr>
          <w:rFonts w:cstheme="minorHAnsi"/>
          <w:i/>
          <w:iCs/>
          <w:sz w:val="18"/>
          <w:szCs w:val="18"/>
        </w:rPr>
        <w:t>Drug Alcohol Depend</w:t>
      </w:r>
      <w:r w:rsidRPr="005E7DD1">
        <w:rPr>
          <w:rFonts w:cstheme="minorHAnsi"/>
          <w:sz w:val="18"/>
          <w:szCs w:val="18"/>
        </w:rPr>
        <w:t>. 2017;0(0). doi:10.1016/j.drugalcdep.2017.02.017.</w:t>
      </w:r>
    </w:p>
  </w:footnote>
  <w:footnote w:id="12">
    <w:p w14:paraId="5CA1A65C" w14:textId="774B5BF8" w:rsidR="00FB0E78" w:rsidRPr="005E7DD1" w:rsidRDefault="00FB0E78" w:rsidP="00DE1E77">
      <w:pPr>
        <w:pStyle w:val="FootnoteText"/>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w:t>
      </w:r>
      <w:proofErr w:type="spellStart"/>
      <w:r w:rsidRPr="005E7DD1">
        <w:rPr>
          <w:rFonts w:cstheme="minorHAnsi"/>
          <w:sz w:val="18"/>
          <w:szCs w:val="18"/>
        </w:rPr>
        <w:t>Borodovsky</w:t>
      </w:r>
      <w:proofErr w:type="spellEnd"/>
      <w:r w:rsidRPr="005E7DD1">
        <w:rPr>
          <w:rFonts w:cstheme="minorHAnsi"/>
          <w:sz w:val="18"/>
          <w:szCs w:val="18"/>
        </w:rPr>
        <w:t xml:space="preserve"> JT, Lee DC, Crosier BS, </w:t>
      </w:r>
      <w:proofErr w:type="spellStart"/>
      <w:r w:rsidRPr="005E7DD1">
        <w:rPr>
          <w:rFonts w:cstheme="minorHAnsi"/>
          <w:sz w:val="18"/>
          <w:szCs w:val="18"/>
        </w:rPr>
        <w:t>Gabrielli</w:t>
      </w:r>
      <w:proofErr w:type="spellEnd"/>
      <w:r w:rsidRPr="005E7DD1">
        <w:rPr>
          <w:rFonts w:cstheme="minorHAnsi"/>
          <w:sz w:val="18"/>
          <w:szCs w:val="18"/>
        </w:rPr>
        <w:t xml:space="preserve"> JL, Sargent JD, </w:t>
      </w:r>
      <w:proofErr w:type="spellStart"/>
      <w:r w:rsidRPr="005E7DD1">
        <w:rPr>
          <w:rFonts w:cstheme="minorHAnsi"/>
          <w:sz w:val="18"/>
          <w:szCs w:val="18"/>
        </w:rPr>
        <w:t>Budney</w:t>
      </w:r>
      <w:proofErr w:type="spellEnd"/>
      <w:r w:rsidRPr="005E7DD1">
        <w:rPr>
          <w:rFonts w:cstheme="minorHAnsi"/>
          <w:sz w:val="18"/>
          <w:szCs w:val="18"/>
        </w:rPr>
        <w:t xml:space="preserve"> AJ. U.S. cannabis legalization and use of vaping and edible products among youth. </w:t>
      </w:r>
      <w:r w:rsidRPr="005E7DD1">
        <w:rPr>
          <w:rFonts w:cstheme="minorHAnsi"/>
          <w:i/>
          <w:iCs/>
          <w:sz w:val="18"/>
          <w:szCs w:val="18"/>
        </w:rPr>
        <w:t>Drug Alcohol Depend</w:t>
      </w:r>
      <w:r w:rsidRPr="005E7DD1">
        <w:rPr>
          <w:rFonts w:cstheme="minorHAnsi"/>
          <w:sz w:val="18"/>
          <w:szCs w:val="18"/>
        </w:rPr>
        <w:t>. 2017;0(0). doi:10.1016/j.drugalcdep.2017.02.017.</w:t>
      </w:r>
    </w:p>
  </w:footnote>
  <w:footnote w:id="13">
    <w:p w14:paraId="148E0540" w14:textId="77777777" w:rsidR="00FB0E78" w:rsidRPr="005E7DD1" w:rsidRDefault="00FB0E78" w:rsidP="000D76B3">
      <w:pPr>
        <w:rPr>
          <w:rFonts w:asciiTheme="minorHAnsi" w:hAnsiTheme="minorHAnsi" w:cstheme="minorHAnsi"/>
          <w:sz w:val="18"/>
          <w:szCs w:val="18"/>
        </w:rPr>
      </w:pPr>
      <w:r w:rsidRPr="005E7DD1">
        <w:rPr>
          <w:rStyle w:val="FootnoteReference"/>
          <w:rFonts w:asciiTheme="minorHAnsi" w:hAnsiTheme="minorHAnsi" w:cstheme="minorHAnsi"/>
          <w:sz w:val="18"/>
          <w:szCs w:val="18"/>
        </w:rPr>
        <w:footnoteRef/>
      </w:r>
      <w:r w:rsidRPr="005E7DD1">
        <w:rPr>
          <w:rFonts w:asciiTheme="minorHAnsi" w:hAnsiTheme="minorHAnsi" w:cstheme="minorHAnsi"/>
          <w:sz w:val="18"/>
          <w:szCs w:val="18"/>
        </w:rPr>
        <w:t xml:space="preserve"> Nicholas W, Greenwell L, Washburn F, Caesar E, Lee G, Loprieno D, </w:t>
      </w:r>
      <w:proofErr w:type="spellStart"/>
      <w:r w:rsidRPr="005E7DD1">
        <w:rPr>
          <w:rFonts w:asciiTheme="minorHAnsi" w:hAnsiTheme="minorHAnsi" w:cstheme="minorHAnsi"/>
          <w:sz w:val="18"/>
          <w:szCs w:val="18"/>
        </w:rPr>
        <w:t>Vidyanti</w:t>
      </w:r>
      <w:proofErr w:type="spellEnd"/>
      <w:r w:rsidRPr="005E7DD1">
        <w:rPr>
          <w:rFonts w:asciiTheme="minorHAnsi" w:hAnsiTheme="minorHAnsi" w:cstheme="minorHAnsi"/>
          <w:sz w:val="18"/>
          <w:szCs w:val="18"/>
        </w:rPr>
        <w:t xml:space="preserve"> I, Jan M, Stroud L. Health Equity Implications of Cannabis Regulation in LA County: Health Impact Assessment. Los Angeles County Department of Public Health, Center for Health Impact Evaluation. July 2019. </w:t>
      </w:r>
    </w:p>
  </w:footnote>
  <w:footnote w:id="14">
    <w:p w14:paraId="4078032B" w14:textId="6F87B9FF" w:rsidR="00FB0E78" w:rsidRPr="00B21763" w:rsidRDefault="00FB0E78" w:rsidP="00DE1E77">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w:t>
      </w:r>
      <w:proofErr w:type="spellStart"/>
      <w:r w:rsidRPr="00B21763">
        <w:rPr>
          <w:rStyle w:val="Hyperlink"/>
          <w:rFonts w:eastAsia="Times New Roman" w:cstheme="minorHAnsi"/>
          <w:color w:val="000000" w:themeColor="text1"/>
          <w:sz w:val="18"/>
          <w:szCs w:val="18"/>
        </w:rPr>
        <w:t>Gwon</w:t>
      </w:r>
      <w:proofErr w:type="spellEnd"/>
      <w:r w:rsidRPr="00B21763">
        <w:rPr>
          <w:rStyle w:val="Hyperlink"/>
          <w:rFonts w:eastAsia="Times New Roman" w:cstheme="minorHAnsi"/>
          <w:color w:val="000000" w:themeColor="text1"/>
          <w:sz w:val="18"/>
          <w:szCs w:val="18"/>
        </w:rPr>
        <w:t xml:space="preserve"> SH</w:t>
      </w:r>
      <w:r w:rsidRPr="00B21763">
        <w:rPr>
          <w:rFonts w:eastAsia="Times New Roman" w:cstheme="minorHAnsi"/>
          <w:color w:val="000000" w:themeColor="text1"/>
          <w:sz w:val="18"/>
          <w:szCs w:val="18"/>
        </w:rPr>
        <w:t>, </w:t>
      </w:r>
      <w:proofErr w:type="spellStart"/>
      <w:r w:rsidRPr="00B21763">
        <w:rPr>
          <w:rStyle w:val="Hyperlink"/>
          <w:rFonts w:eastAsia="Times New Roman" w:cstheme="minorHAnsi"/>
          <w:color w:val="000000" w:themeColor="text1"/>
          <w:sz w:val="18"/>
          <w:szCs w:val="18"/>
        </w:rPr>
        <w:t>DeGuzman</w:t>
      </w:r>
      <w:proofErr w:type="spellEnd"/>
      <w:r w:rsidRPr="00B21763">
        <w:rPr>
          <w:rStyle w:val="Hyperlink"/>
          <w:rFonts w:eastAsia="Times New Roman" w:cstheme="minorHAnsi"/>
          <w:color w:val="000000" w:themeColor="text1"/>
          <w:sz w:val="18"/>
          <w:szCs w:val="18"/>
        </w:rPr>
        <w:t xml:space="preserve"> PB</w:t>
      </w:r>
      <w:r w:rsidRPr="00B21763">
        <w:rPr>
          <w:rFonts w:eastAsia="Times New Roman" w:cstheme="minorHAnsi"/>
          <w:color w:val="000000" w:themeColor="text1"/>
          <w:sz w:val="18"/>
          <w:szCs w:val="18"/>
        </w:rPr>
        <w:t>, </w:t>
      </w:r>
      <w:proofErr w:type="spellStart"/>
      <w:r w:rsidRPr="00B21763">
        <w:rPr>
          <w:rStyle w:val="Hyperlink"/>
          <w:rFonts w:eastAsia="Times New Roman" w:cstheme="minorHAnsi"/>
          <w:color w:val="000000" w:themeColor="text1"/>
          <w:sz w:val="18"/>
          <w:szCs w:val="18"/>
        </w:rPr>
        <w:t>Kulbok</w:t>
      </w:r>
      <w:proofErr w:type="spellEnd"/>
      <w:r w:rsidRPr="00B21763">
        <w:rPr>
          <w:rStyle w:val="Hyperlink"/>
          <w:rFonts w:eastAsia="Times New Roman" w:cstheme="minorHAnsi"/>
          <w:color w:val="000000" w:themeColor="text1"/>
          <w:sz w:val="18"/>
          <w:szCs w:val="18"/>
        </w:rPr>
        <w:t xml:space="preserve"> PA</w:t>
      </w:r>
      <w:r w:rsidRPr="00B21763">
        <w:rPr>
          <w:rFonts w:eastAsia="Times New Roman" w:cstheme="minorHAnsi"/>
          <w:color w:val="000000" w:themeColor="text1"/>
          <w:sz w:val="18"/>
          <w:szCs w:val="18"/>
        </w:rPr>
        <w:t>, </w:t>
      </w:r>
      <w:proofErr w:type="spellStart"/>
      <w:r w:rsidRPr="00B21763">
        <w:rPr>
          <w:rStyle w:val="Hyperlink"/>
          <w:rFonts w:eastAsia="Times New Roman" w:cstheme="minorHAnsi"/>
          <w:color w:val="000000" w:themeColor="text1"/>
          <w:sz w:val="18"/>
          <w:szCs w:val="18"/>
        </w:rPr>
        <w:t>Jeong</w:t>
      </w:r>
      <w:proofErr w:type="spellEnd"/>
      <w:r w:rsidRPr="00B21763">
        <w:rPr>
          <w:rStyle w:val="Hyperlink"/>
          <w:rFonts w:eastAsia="Times New Roman" w:cstheme="minorHAnsi"/>
          <w:color w:val="000000" w:themeColor="text1"/>
          <w:sz w:val="18"/>
          <w:szCs w:val="18"/>
        </w:rPr>
        <w:t xml:space="preserve"> S</w:t>
      </w:r>
      <w:r w:rsidRPr="00B21763">
        <w:rPr>
          <w:rFonts w:eastAsia="Times New Roman" w:cstheme="minorHAnsi"/>
          <w:color w:val="000000" w:themeColor="text1"/>
          <w:sz w:val="18"/>
          <w:szCs w:val="18"/>
        </w:rPr>
        <w:t xml:space="preserve"> (2017). Density and Proximity of Licensed Tobacco Retailers and Adolescent Smoking. </w:t>
      </w:r>
      <w:r w:rsidRPr="00B21763">
        <w:rPr>
          <w:rStyle w:val="Hyperlink"/>
          <w:rFonts w:eastAsia="Times New Roman" w:cstheme="minorHAnsi"/>
          <w:i/>
          <w:color w:val="000000" w:themeColor="text1"/>
          <w:sz w:val="18"/>
          <w:szCs w:val="18"/>
        </w:rPr>
        <w:t xml:space="preserve">J Sch </w:t>
      </w:r>
      <w:proofErr w:type="spellStart"/>
      <w:r w:rsidRPr="00B21763">
        <w:rPr>
          <w:rStyle w:val="Hyperlink"/>
          <w:rFonts w:eastAsia="Times New Roman" w:cstheme="minorHAnsi"/>
          <w:i/>
          <w:color w:val="000000" w:themeColor="text1"/>
          <w:sz w:val="18"/>
          <w:szCs w:val="18"/>
        </w:rPr>
        <w:t>Nurs</w:t>
      </w:r>
      <w:proofErr w:type="spellEnd"/>
      <w:r w:rsidRPr="00B21763">
        <w:rPr>
          <w:rStyle w:val="Hyperlink"/>
          <w:rFonts w:eastAsia="Times New Roman" w:cstheme="minorHAnsi"/>
          <w:i/>
          <w:color w:val="000000" w:themeColor="text1"/>
          <w:sz w:val="18"/>
          <w:szCs w:val="18"/>
        </w:rPr>
        <w:t>.</w:t>
      </w:r>
      <w:r w:rsidRPr="00B21763">
        <w:rPr>
          <w:rFonts w:eastAsia="Times New Roman" w:cstheme="minorHAnsi"/>
          <w:color w:val="000000" w:themeColor="text1"/>
          <w:sz w:val="18"/>
          <w:szCs w:val="18"/>
        </w:rPr>
        <w:t> </w:t>
      </w:r>
      <w:r w:rsidRPr="00B21763">
        <w:rPr>
          <w:rFonts w:eastAsia="Times New Roman" w:cstheme="minorHAnsi"/>
          <w:i/>
          <w:color w:val="000000" w:themeColor="text1"/>
          <w:sz w:val="18"/>
          <w:szCs w:val="18"/>
        </w:rPr>
        <w:t>33</w:t>
      </w:r>
      <w:r w:rsidRPr="00B21763">
        <w:rPr>
          <w:rFonts w:eastAsia="Times New Roman" w:cstheme="minorHAnsi"/>
          <w:color w:val="000000" w:themeColor="text1"/>
          <w:sz w:val="18"/>
          <w:szCs w:val="18"/>
        </w:rPr>
        <w:t xml:space="preserve">(1):18-29. </w:t>
      </w:r>
      <w:proofErr w:type="spellStart"/>
      <w:r w:rsidRPr="00B21763">
        <w:rPr>
          <w:rFonts w:eastAsia="Times New Roman" w:cstheme="minorHAnsi"/>
          <w:color w:val="000000" w:themeColor="text1"/>
          <w:sz w:val="18"/>
          <w:szCs w:val="18"/>
        </w:rPr>
        <w:t>doi</w:t>
      </w:r>
      <w:proofErr w:type="spellEnd"/>
      <w:r w:rsidRPr="00B21763">
        <w:rPr>
          <w:rFonts w:eastAsia="Times New Roman" w:cstheme="minorHAnsi"/>
          <w:color w:val="000000" w:themeColor="text1"/>
          <w:sz w:val="18"/>
          <w:szCs w:val="18"/>
        </w:rPr>
        <w:t>: 10.1177/1059840516679710.</w:t>
      </w:r>
    </w:p>
  </w:footnote>
  <w:footnote w:id="15">
    <w:p w14:paraId="571E6A1A" w14:textId="5D3CD90F" w:rsidR="00FB0E78" w:rsidRPr="00B21763" w:rsidRDefault="00FB0E78" w:rsidP="00DE1E77">
      <w:pPr>
        <w:shd w:val="clear" w:color="auto" w:fill="FFFFFF"/>
        <w:contextualSpacing/>
        <w:rPr>
          <w:rFonts w:asciiTheme="minorHAnsi" w:hAnsiTheme="minorHAnsi" w:cstheme="minorHAnsi"/>
          <w:color w:val="000000" w:themeColor="text1"/>
          <w:sz w:val="18"/>
          <w:szCs w:val="18"/>
        </w:rPr>
      </w:pPr>
      <w:r w:rsidRPr="00B21763">
        <w:rPr>
          <w:rStyle w:val="FootnoteReference"/>
          <w:rFonts w:asciiTheme="minorHAnsi" w:hAnsiTheme="minorHAnsi" w:cstheme="minorHAnsi"/>
          <w:color w:val="000000" w:themeColor="text1"/>
          <w:sz w:val="18"/>
          <w:szCs w:val="18"/>
        </w:rPr>
        <w:footnoteRef/>
      </w:r>
      <w:r w:rsidRPr="00B21763">
        <w:rPr>
          <w:rFonts w:asciiTheme="minorHAnsi" w:hAnsiTheme="minorHAnsi" w:cstheme="minorHAnsi"/>
          <w:color w:val="000000" w:themeColor="text1"/>
          <w:sz w:val="18"/>
          <w:szCs w:val="18"/>
        </w:rPr>
        <w:t xml:space="preserve"> </w:t>
      </w:r>
      <w:r w:rsidRPr="00B21763">
        <w:rPr>
          <w:rStyle w:val="Hyperlink"/>
          <w:rFonts w:asciiTheme="minorHAnsi" w:hAnsiTheme="minorHAnsi" w:cstheme="minorHAnsi"/>
          <w:color w:val="000000" w:themeColor="text1"/>
          <w:sz w:val="18"/>
          <w:szCs w:val="18"/>
        </w:rPr>
        <w:t>Grubesic TH</w:t>
      </w:r>
      <w:r w:rsidRPr="00B21763">
        <w:rPr>
          <w:rFonts w:asciiTheme="minorHAnsi" w:hAnsiTheme="minorHAnsi" w:cstheme="minorHAnsi"/>
          <w:color w:val="000000" w:themeColor="text1"/>
          <w:sz w:val="18"/>
          <w:szCs w:val="18"/>
          <w:vertAlign w:val="superscript"/>
        </w:rPr>
        <w:t>1</w:t>
      </w:r>
      <w:r w:rsidRPr="00B21763">
        <w:rPr>
          <w:rFonts w:asciiTheme="minorHAnsi" w:hAnsiTheme="minorHAnsi" w:cstheme="minorHAnsi"/>
          <w:color w:val="000000" w:themeColor="text1"/>
          <w:sz w:val="18"/>
          <w:szCs w:val="18"/>
        </w:rPr>
        <w:t>, </w:t>
      </w:r>
      <w:proofErr w:type="spellStart"/>
      <w:r w:rsidRPr="00B21763">
        <w:rPr>
          <w:rStyle w:val="Hyperlink"/>
          <w:rFonts w:asciiTheme="minorHAnsi" w:hAnsiTheme="minorHAnsi" w:cstheme="minorHAnsi"/>
          <w:color w:val="000000" w:themeColor="text1"/>
          <w:sz w:val="18"/>
          <w:szCs w:val="18"/>
        </w:rPr>
        <w:t>Pridemore</w:t>
      </w:r>
      <w:proofErr w:type="spellEnd"/>
      <w:r w:rsidRPr="00B21763">
        <w:rPr>
          <w:rStyle w:val="Hyperlink"/>
          <w:rFonts w:asciiTheme="minorHAnsi" w:hAnsiTheme="minorHAnsi" w:cstheme="minorHAnsi"/>
          <w:color w:val="000000" w:themeColor="text1"/>
          <w:sz w:val="18"/>
          <w:szCs w:val="18"/>
        </w:rPr>
        <w:t xml:space="preserve"> WA</w:t>
      </w:r>
      <w:r w:rsidRPr="00B21763">
        <w:rPr>
          <w:rFonts w:asciiTheme="minorHAnsi" w:hAnsiTheme="minorHAnsi" w:cstheme="minorHAnsi"/>
          <w:color w:val="000000" w:themeColor="text1"/>
          <w:sz w:val="18"/>
          <w:szCs w:val="18"/>
        </w:rPr>
        <w:t>, </w:t>
      </w:r>
      <w:r w:rsidRPr="00B21763">
        <w:rPr>
          <w:rStyle w:val="Hyperlink"/>
          <w:rFonts w:asciiTheme="minorHAnsi" w:hAnsiTheme="minorHAnsi" w:cstheme="minorHAnsi"/>
          <w:color w:val="000000" w:themeColor="text1"/>
          <w:sz w:val="18"/>
          <w:szCs w:val="18"/>
        </w:rPr>
        <w:t>Williams DA</w:t>
      </w:r>
      <w:r w:rsidRPr="00B21763">
        <w:rPr>
          <w:rFonts w:asciiTheme="minorHAnsi" w:hAnsiTheme="minorHAnsi" w:cstheme="minorHAnsi"/>
          <w:color w:val="000000" w:themeColor="text1"/>
          <w:sz w:val="18"/>
          <w:szCs w:val="18"/>
        </w:rPr>
        <w:t>, </w:t>
      </w:r>
      <w:r w:rsidRPr="00B21763">
        <w:rPr>
          <w:rStyle w:val="Hyperlink"/>
          <w:rFonts w:asciiTheme="minorHAnsi" w:hAnsiTheme="minorHAnsi" w:cstheme="minorHAnsi"/>
          <w:color w:val="000000" w:themeColor="text1"/>
          <w:sz w:val="18"/>
          <w:szCs w:val="18"/>
        </w:rPr>
        <w:t>Philip-Tabb L</w:t>
      </w:r>
      <w:r w:rsidRPr="00B21763">
        <w:rPr>
          <w:rFonts w:asciiTheme="minorHAnsi" w:hAnsiTheme="minorHAnsi" w:cstheme="minorHAnsi"/>
          <w:color w:val="000000" w:themeColor="text1"/>
          <w:sz w:val="18"/>
          <w:szCs w:val="18"/>
        </w:rPr>
        <w:t xml:space="preserve">. (2013). Alcohol outlet density and violence: the role of </w:t>
      </w:r>
      <w:r w:rsidRPr="00D55F03">
        <w:rPr>
          <w:rFonts w:asciiTheme="minorHAnsi" w:hAnsiTheme="minorHAnsi" w:cstheme="minorHAnsi"/>
          <w:color w:val="000000" w:themeColor="text1"/>
          <w:sz w:val="18"/>
          <w:szCs w:val="18"/>
        </w:rPr>
        <w:t xml:space="preserve">risky retailers and alcohol-related expenditures. </w:t>
      </w:r>
      <w:r w:rsidRPr="00D55F03">
        <w:rPr>
          <w:rFonts w:asciiTheme="minorHAnsi" w:hAnsiTheme="minorHAnsi" w:cstheme="minorHAnsi"/>
          <w:i/>
          <w:color w:val="000000" w:themeColor="text1"/>
          <w:sz w:val="18"/>
          <w:szCs w:val="18"/>
        </w:rPr>
        <w:t>Alcohol &amp; Alcoholism,</w:t>
      </w:r>
      <w:r w:rsidRPr="00D55F03">
        <w:rPr>
          <w:rFonts w:asciiTheme="minorHAnsi" w:hAnsiTheme="minorHAnsi" w:cstheme="minorHAnsi"/>
          <w:color w:val="000000" w:themeColor="text1"/>
          <w:sz w:val="18"/>
          <w:szCs w:val="18"/>
        </w:rPr>
        <w:t xml:space="preserve"> </w:t>
      </w:r>
      <w:r w:rsidRPr="00D55F03">
        <w:rPr>
          <w:rFonts w:asciiTheme="minorHAnsi" w:hAnsiTheme="minorHAnsi" w:cstheme="minorHAnsi"/>
          <w:i/>
          <w:color w:val="000000" w:themeColor="text1"/>
          <w:sz w:val="18"/>
          <w:szCs w:val="18"/>
        </w:rPr>
        <w:t>48</w:t>
      </w:r>
      <w:r w:rsidRPr="00D55F03">
        <w:rPr>
          <w:rFonts w:asciiTheme="minorHAnsi" w:hAnsiTheme="minorHAnsi" w:cstheme="minorHAnsi"/>
          <w:color w:val="000000" w:themeColor="text1"/>
          <w:sz w:val="18"/>
          <w:szCs w:val="18"/>
        </w:rPr>
        <w:t xml:space="preserve">(5):613-9. </w:t>
      </w:r>
      <w:proofErr w:type="spellStart"/>
      <w:r w:rsidRPr="00D55F03">
        <w:rPr>
          <w:rFonts w:asciiTheme="minorHAnsi" w:hAnsiTheme="minorHAnsi" w:cstheme="minorHAnsi"/>
          <w:color w:val="000000" w:themeColor="text1"/>
          <w:sz w:val="18"/>
          <w:szCs w:val="18"/>
        </w:rPr>
        <w:t>doi</w:t>
      </w:r>
      <w:proofErr w:type="spellEnd"/>
      <w:r w:rsidRPr="00D55F03">
        <w:rPr>
          <w:rFonts w:asciiTheme="minorHAnsi" w:hAnsiTheme="minorHAnsi" w:cstheme="minorHAnsi"/>
          <w:color w:val="000000" w:themeColor="text1"/>
          <w:sz w:val="18"/>
          <w:szCs w:val="18"/>
        </w:rPr>
        <w:t>: 10.1093/</w:t>
      </w:r>
      <w:proofErr w:type="spellStart"/>
      <w:r w:rsidRPr="00D55F03">
        <w:rPr>
          <w:rFonts w:asciiTheme="minorHAnsi" w:hAnsiTheme="minorHAnsi" w:cstheme="minorHAnsi"/>
          <w:color w:val="000000" w:themeColor="text1"/>
          <w:sz w:val="18"/>
          <w:szCs w:val="18"/>
        </w:rPr>
        <w:t>alcalc</w:t>
      </w:r>
      <w:proofErr w:type="spellEnd"/>
      <w:r w:rsidRPr="00D55F03">
        <w:rPr>
          <w:rFonts w:asciiTheme="minorHAnsi" w:hAnsiTheme="minorHAnsi" w:cstheme="minorHAnsi"/>
          <w:color w:val="000000" w:themeColor="text1"/>
          <w:sz w:val="18"/>
          <w:szCs w:val="18"/>
        </w:rPr>
        <w:t xml:space="preserve">/agt055. </w:t>
      </w:r>
      <w:proofErr w:type="spellStart"/>
      <w:r w:rsidRPr="00D55F03">
        <w:rPr>
          <w:rFonts w:asciiTheme="minorHAnsi" w:hAnsiTheme="minorHAnsi" w:cstheme="minorHAnsi"/>
          <w:color w:val="000000" w:themeColor="text1"/>
          <w:sz w:val="18"/>
          <w:szCs w:val="18"/>
        </w:rPr>
        <w:t>Epub</w:t>
      </w:r>
      <w:proofErr w:type="spellEnd"/>
      <w:r w:rsidRPr="00D55F03">
        <w:rPr>
          <w:rFonts w:asciiTheme="minorHAnsi" w:hAnsiTheme="minorHAnsi" w:cstheme="minorHAnsi"/>
          <w:color w:val="000000" w:themeColor="text1"/>
          <w:sz w:val="18"/>
          <w:szCs w:val="18"/>
        </w:rPr>
        <w:t xml:space="preserve"> 2013 Jun 23.</w:t>
      </w:r>
    </w:p>
  </w:footnote>
  <w:footnote w:id="16">
    <w:p w14:paraId="2F7087FB" w14:textId="77777777" w:rsidR="008C70EE" w:rsidRPr="008C70EE" w:rsidRDefault="008C70EE" w:rsidP="008C70EE">
      <w:pPr>
        <w:rPr>
          <w:rFonts w:asciiTheme="minorHAnsi" w:hAnsiTheme="minorHAnsi" w:cstheme="minorHAnsi"/>
          <w:sz w:val="18"/>
          <w:szCs w:val="18"/>
        </w:rPr>
      </w:pPr>
      <w:r w:rsidRPr="008C70EE">
        <w:rPr>
          <w:rStyle w:val="FootnoteReference"/>
          <w:rFonts w:asciiTheme="minorHAnsi" w:hAnsiTheme="minorHAnsi" w:cstheme="minorHAnsi"/>
          <w:sz w:val="18"/>
          <w:szCs w:val="18"/>
        </w:rPr>
        <w:footnoteRef/>
      </w:r>
      <w:r w:rsidRPr="008C70EE">
        <w:rPr>
          <w:rFonts w:asciiTheme="minorHAnsi" w:hAnsiTheme="minorHAnsi" w:cstheme="minorHAnsi"/>
          <w:color w:val="212121"/>
          <w:sz w:val="18"/>
          <w:szCs w:val="18"/>
          <w:shd w:val="clear" w:color="auto" w:fill="FFFFFF"/>
        </w:rPr>
        <w:t xml:space="preserve">Silver LD, Naprawa AZ, Padon AA. Assessment of Incorporation of Lessons </w:t>
      </w:r>
      <w:proofErr w:type="gramStart"/>
      <w:r w:rsidRPr="008C70EE">
        <w:rPr>
          <w:rFonts w:asciiTheme="minorHAnsi" w:hAnsiTheme="minorHAnsi" w:cstheme="minorHAnsi"/>
          <w:color w:val="212121"/>
          <w:sz w:val="18"/>
          <w:szCs w:val="18"/>
          <w:shd w:val="clear" w:color="auto" w:fill="FFFFFF"/>
        </w:rPr>
        <w:t>From</w:t>
      </w:r>
      <w:proofErr w:type="gramEnd"/>
      <w:r w:rsidRPr="008C70EE">
        <w:rPr>
          <w:rFonts w:asciiTheme="minorHAnsi" w:hAnsiTheme="minorHAnsi" w:cstheme="minorHAnsi"/>
          <w:color w:val="212121"/>
          <w:sz w:val="18"/>
          <w:szCs w:val="18"/>
          <w:shd w:val="clear" w:color="auto" w:fill="FFFFFF"/>
        </w:rPr>
        <w:t xml:space="preserve"> Tobacco Control in City and County Laws Regulating Legal Marijuana in California. </w:t>
      </w:r>
      <w:r w:rsidRPr="008C70EE">
        <w:rPr>
          <w:rFonts w:asciiTheme="minorHAnsi" w:hAnsiTheme="minorHAnsi" w:cstheme="minorHAnsi"/>
          <w:i/>
          <w:iCs/>
          <w:color w:val="212121"/>
          <w:sz w:val="18"/>
          <w:szCs w:val="18"/>
          <w:shd w:val="clear" w:color="auto" w:fill="FFFFFF"/>
        </w:rPr>
        <w:t xml:space="preserve">JAMA </w:t>
      </w:r>
      <w:proofErr w:type="spellStart"/>
      <w:r w:rsidRPr="008C70EE">
        <w:rPr>
          <w:rFonts w:asciiTheme="minorHAnsi" w:hAnsiTheme="minorHAnsi" w:cstheme="minorHAnsi"/>
          <w:i/>
          <w:iCs/>
          <w:color w:val="212121"/>
          <w:sz w:val="18"/>
          <w:szCs w:val="18"/>
          <w:shd w:val="clear" w:color="auto" w:fill="FFFFFF"/>
        </w:rPr>
        <w:t>Netw</w:t>
      </w:r>
      <w:proofErr w:type="spellEnd"/>
      <w:r w:rsidRPr="008C70EE">
        <w:rPr>
          <w:rFonts w:asciiTheme="minorHAnsi" w:hAnsiTheme="minorHAnsi" w:cstheme="minorHAnsi"/>
          <w:i/>
          <w:iCs/>
          <w:color w:val="212121"/>
          <w:sz w:val="18"/>
          <w:szCs w:val="18"/>
          <w:shd w:val="clear" w:color="auto" w:fill="FFFFFF"/>
        </w:rPr>
        <w:t xml:space="preserve"> Open</w:t>
      </w:r>
      <w:r w:rsidRPr="008C70EE">
        <w:rPr>
          <w:rFonts w:asciiTheme="minorHAnsi" w:hAnsiTheme="minorHAnsi" w:cstheme="minorHAnsi"/>
          <w:color w:val="212121"/>
          <w:sz w:val="18"/>
          <w:szCs w:val="18"/>
          <w:shd w:val="clear" w:color="auto" w:fill="FFFFFF"/>
        </w:rPr>
        <w:t>. 2020;3(6</w:t>
      </w:r>
      <w:proofErr w:type="gramStart"/>
      <w:r w:rsidRPr="008C70EE">
        <w:rPr>
          <w:rFonts w:asciiTheme="minorHAnsi" w:hAnsiTheme="minorHAnsi" w:cstheme="minorHAnsi"/>
          <w:color w:val="212121"/>
          <w:sz w:val="18"/>
          <w:szCs w:val="18"/>
          <w:shd w:val="clear" w:color="auto" w:fill="FFFFFF"/>
        </w:rPr>
        <w:t>):e</w:t>
      </w:r>
      <w:proofErr w:type="gramEnd"/>
      <w:r w:rsidRPr="008C70EE">
        <w:rPr>
          <w:rFonts w:asciiTheme="minorHAnsi" w:hAnsiTheme="minorHAnsi" w:cstheme="minorHAnsi"/>
          <w:color w:val="212121"/>
          <w:sz w:val="18"/>
          <w:szCs w:val="18"/>
          <w:shd w:val="clear" w:color="auto" w:fill="FFFFFF"/>
        </w:rPr>
        <w:t>208393. Published 2020 Jun 1. doi:10.1001/jamanetworkopen.2020.8393</w:t>
      </w:r>
    </w:p>
    <w:p w14:paraId="1BF314F6" w14:textId="0B1D6FD2" w:rsidR="008C70EE" w:rsidRDefault="008C70EE">
      <w:pPr>
        <w:pStyle w:val="FootnoteText"/>
      </w:pPr>
    </w:p>
  </w:footnote>
  <w:footnote w:id="17">
    <w:p w14:paraId="4F217214" w14:textId="24F7070F" w:rsidR="00FB0E78" w:rsidRPr="00B21763" w:rsidRDefault="00FB0E78" w:rsidP="004B188D">
      <w:pPr>
        <w:rPr>
          <w:rFonts w:asciiTheme="minorHAnsi" w:hAnsiTheme="minorHAnsi" w:cstheme="minorHAnsi"/>
          <w:sz w:val="18"/>
          <w:szCs w:val="18"/>
        </w:rPr>
      </w:pPr>
      <w:r w:rsidRPr="00B21763">
        <w:rPr>
          <w:rStyle w:val="FootnoteReference"/>
          <w:rFonts w:asciiTheme="minorHAnsi" w:hAnsiTheme="minorHAnsi" w:cstheme="minorHAnsi"/>
          <w:sz w:val="18"/>
          <w:szCs w:val="18"/>
        </w:rPr>
        <w:footnoteRef/>
      </w:r>
      <w:r w:rsidRPr="00B21763">
        <w:rPr>
          <w:rFonts w:asciiTheme="minorHAnsi" w:hAnsiTheme="minorHAnsi" w:cstheme="minorHAnsi"/>
          <w:sz w:val="18"/>
          <w:szCs w:val="18"/>
        </w:rPr>
        <w:t xml:space="preserve"> Cal. Bus. &amp; Prof. Code, §26054(b); </w:t>
      </w:r>
      <w:r w:rsidRPr="00B21763">
        <w:rPr>
          <w:rFonts w:asciiTheme="minorHAnsi" w:hAnsiTheme="minorHAnsi" w:cstheme="minorHAnsi"/>
          <w:i/>
          <w:sz w:val="18"/>
          <w:szCs w:val="18"/>
        </w:rPr>
        <w:t>see also</w:t>
      </w:r>
      <w:r w:rsidRPr="00B21763">
        <w:rPr>
          <w:rFonts w:asciiTheme="minorHAnsi" w:hAnsiTheme="minorHAnsi" w:cstheme="minorHAnsi"/>
          <w:sz w:val="18"/>
          <w:szCs w:val="18"/>
        </w:rPr>
        <w:t xml:space="preserve">, </w:t>
      </w:r>
      <w:r w:rsidRPr="00B21763">
        <w:rPr>
          <w:rFonts w:asciiTheme="minorHAnsi" w:hAnsiTheme="minorHAnsi" w:cstheme="minorHAnsi"/>
          <w:color w:val="222222"/>
          <w:sz w:val="18"/>
          <w:szCs w:val="18"/>
          <w:shd w:val="clear" w:color="auto" w:fill="FFFFFF"/>
        </w:rPr>
        <w:t>Cal. Code Regs. tit. 16 §</w:t>
      </w:r>
      <w:r w:rsidRPr="00B21763">
        <w:rPr>
          <w:rFonts w:asciiTheme="minorHAnsi" w:hAnsiTheme="minorHAnsi" w:cstheme="minorHAnsi"/>
          <w:sz w:val="18"/>
          <w:szCs w:val="18"/>
        </w:rPr>
        <w:t>5026(a) and (b).</w:t>
      </w:r>
    </w:p>
  </w:footnote>
  <w:footnote w:id="18">
    <w:p w14:paraId="5F792A5E" w14:textId="1BB96E44" w:rsidR="00FB0E78" w:rsidRPr="00B21763" w:rsidRDefault="00FB0E78" w:rsidP="007263F3">
      <w:pPr>
        <w:rPr>
          <w:rFonts w:asciiTheme="minorHAnsi" w:hAnsiTheme="minorHAnsi" w:cstheme="minorHAnsi"/>
          <w:sz w:val="18"/>
          <w:szCs w:val="18"/>
        </w:rPr>
      </w:pPr>
      <w:r w:rsidRPr="00B21763">
        <w:rPr>
          <w:rStyle w:val="FootnoteReference"/>
          <w:rFonts w:asciiTheme="minorHAnsi" w:hAnsiTheme="minorHAnsi" w:cstheme="minorHAnsi"/>
          <w:sz w:val="18"/>
          <w:szCs w:val="18"/>
        </w:rPr>
        <w:footnoteRef/>
      </w:r>
      <w:r w:rsidRPr="00B21763">
        <w:rPr>
          <w:rFonts w:asciiTheme="minorHAnsi" w:hAnsiTheme="minorHAnsi" w:cstheme="minorHAnsi"/>
          <w:sz w:val="18"/>
          <w:szCs w:val="18"/>
          <w:shd w:val="clear" w:color="auto" w:fill="FFFFFF"/>
        </w:rPr>
        <w:t xml:space="preserve">Shi, Y., </w:t>
      </w:r>
      <w:proofErr w:type="spellStart"/>
      <w:r w:rsidRPr="00B21763">
        <w:rPr>
          <w:rFonts w:asciiTheme="minorHAnsi" w:hAnsiTheme="minorHAnsi" w:cstheme="minorHAnsi"/>
          <w:sz w:val="18"/>
          <w:szCs w:val="18"/>
          <w:shd w:val="clear" w:color="auto" w:fill="FFFFFF"/>
        </w:rPr>
        <w:t>Meseck</w:t>
      </w:r>
      <w:proofErr w:type="spellEnd"/>
      <w:r w:rsidRPr="00B21763">
        <w:rPr>
          <w:rFonts w:asciiTheme="minorHAnsi" w:hAnsiTheme="minorHAnsi" w:cstheme="minorHAnsi"/>
          <w:sz w:val="18"/>
          <w:szCs w:val="18"/>
          <w:shd w:val="clear" w:color="auto" w:fill="FFFFFF"/>
        </w:rPr>
        <w:t xml:space="preserve">, K., &amp; </w:t>
      </w:r>
      <w:proofErr w:type="spellStart"/>
      <w:r w:rsidRPr="00B21763">
        <w:rPr>
          <w:rFonts w:asciiTheme="minorHAnsi" w:hAnsiTheme="minorHAnsi" w:cstheme="minorHAnsi"/>
          <w:sz w:val="18"/>
          <w:szCs w:val="18"/>
          <w:shd w:val="clear" w:color="auto" w:fill="FFFFFF"/>
        </w:rPr>
        <w:t>Jankowska</w:t>
      </w:r>
      <w:proofErr w:type="spellEnd"/>
      <w:r w:rsidRPr="00B21763">
        <w:rPr>
          <w:rFonts w:asciiTheme="minorHAnsi" w:hAnsiTheme="minorHAnsi" w:cstheme="minorHAnsi"/>
          <w:sz w:val="18"/>
          <w:szCs w:val="18"/>
          <w:shd w:val="clear" w:color="auto" w:fill="FFFFFF"/>
        </w:rPr>
        <w:t>, M. M. (2016). Availability of Medical and Recreational Marijuana Stores and Neighborhood Characteristics in Colorado. </w:t>
      </w:r>
      <w:r w:rsidRPr="00B21763">
        <w:rPr>
          <w:rFonts w:asciiTheme="minorHAnsi" w:hAnsiTheme="minorHAnsi" w:cstheme="minorHAnsi"/>
          <w:i/>
          <w:iCs/>
          <w:sz w:val="18"/>
          <w:szCs w:val="18"/>
        </w:rPr>
        <w:t>Journal of addiction</w:t>
      </w:r>
      <w:r w:rsidRPr="00B21763">
        <w:rPr>
          <w:rFonts w:asciiTheme="minorHAnsi" w:hAnsiTheme="minorHAnsi" w:cstheme="minorHAnsi"/>
          <w:sz w:val="18"/>
          <w:szCs w:val="18"/>
          <w:shd w:val="clear" w:color="auto" w:fill="FFFFFF"/>
        </w:rPr>
        <w:t>, </w:t>
      </w:r>
      <w:r w:rsidRPr="00B21763">
        <w:rPr>
          <w:rFonts w:asciiTheme="minorHAnsi" w:hAnsiTheme="minorHAnsi" w:cstheme="minorHAnsi"/>
          <w:i/>
          <w:iCs/>
          <w:sz w:val="18"/>
          <w:szCs w:val="18"/>
        </w:rPr>
        <w:t>2016</w:t>
      </w:r>
      <w:r w:rsidRPr="00B21763">
        <w:rPr>
          <w:rFonts w:asciiTheme="minorHAnsi" w:hAnsiTheme="minorHAnsi" w:cstheme="minorHAnsi"/>
          <w:sz w:val="18"/>
          <w:szCs w:val="18"/>
          <w:shd w:val="clear" w:color="auto" w:fill="FFFFFF"/>
        </w:rPr>
        <w:t>, 7193740. doi:10.1155/2016/7193740</w:t>
      </w:r>
    </w:p>
  </w:footnote>
  <w:footnote w:id="19">
    <w:p w14:paraId="60A0A801" w14:textId="3F8C67D4" w:rsidR="00FB0E78" w:rsidRPr="00B21763" w:rsidRDefault="00FB0E78">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w:t>
      </w:r>
      <w:proofErr w:type="spellStart"/>
      <w:r w:rsidRPr="00B21763">
        <w:rPr>
          <w:rFonts w:cstheme="minorHAnsi"/>
          <w:sz w:val="18"/>
          <w:szCs w:val="18"/>
        </w:rPr>
        <w:t>Cal.Bus</w:t>
      </w:r>
      <w:proofErr w:type="spellEnd"/>
      <w:r w:rsidRPr="00B21763">
        <w:rPr>
          <w:rFonts w:cstheme="minorHAnsi"/>
          <w:sz w:val="18"/>
          <w:szCs w:val="18"/>
        </w:rPr>
        <w:t>. &amp; Prof. Code, §26054</w:t>
      </w:r>
    </w:p>
  </w:footnote>
  <w:footnote w:id="20">
    <w:p w14:paraId="37B9243A" w14:textId="2F9386C6" w:rsidR="008C70EE" w:rsidRPr="008C70EE" w:rsidRDefault="008C70EE" w:rsidP="008C70EE">
      <w:pPr>
        <w:rPr>
          <w:rFonts w:asciiTheme="minorHAnsi" w:hAnsiTheme="minorHAnsi" w:cstheme="minorHAnsi"/>
          <w:sz w:val="18"/>
          <w:szCs w:val="18"/>
        </w:rPr>
      </w:pPr>
      <w:r w:rsidRPr="008C70EE">
        <w:rPr>
          <w:rStyle w:val="FootnoteReference"/>
          <w:rFonts w:asciiTheme="minorHAnsi" w:hAnsiTheme="minorHAnsi" w:cstheme="minorHAnsi"/>
          <w:sz w:val="18"/>
          <w:szCs w:val="18"/>
        </w:rPr>
        <w:footnoteRef/>
      </w:r>
      <w:r w:rsidRPr="008C70EE">
        <w:rPr>
          <w:rFonts w:asciiTheme="minorHAnsi" w:hAnsiTheme="minorHAnsi" w:cstheme="minorHAnsi"/>
          <w:sz w:val="18"/>
          <w:szCs w:val="18"/>
        </w:rPr>
        <w:t xml:space="preserve"> Schulenberg, J. E., Johnston, L. D., O’Malley, P. M., Bachman, J. G., </w:t>
      </w:r>
      <w:proofErr w:type="spellStart"/>
      <w:r w:rsidRPr="008C70EE">
        <w:rPr>
          <w:rFonts w:asciiTheme="minorHAnsi" w:hAnsiTheme="minorHAnsi" w:cstheme="minorHAnsi"/>
          <w:sz w:val="18"/>
          <w:szCs w:val="18"/>
        </w:rPr>
        <w:t>Miech</w:t>
      </w:r>
      <w:proofErr w:type="spellEnd"/>
      <w:r w:rsidRPr="008C70EE">
        <w:rPr>
          <w:rFonts w:asciiTheme="minorHAnsi" w:hAnsiTheme="minorHAnsi" w:cstheme="minorHAnsi"/>
          <w:sz w:val="18"/>
          <w:szCs w:val="18"/>
        </w:rPr>
        <w:t>, R. A. &amp; Patrick, M. E. (2019). Monitoring the Future national survey results on drug use, 1975–2018: Volume II, College students and adults ages 19–60. Ann Arbor: Institute for Social Research, The University of Michigan. Available at http://monitoringthefuture.org/pubs.html#monographs</w:t>
      </w:r>
    </w:p>
  </w:footnote>
  <w:footnote w:id="21">
    <w:p w14:paraId="67C2DA2F" w14:textId="446F40D7" w:rsidR="008C70EE" w:rsidRDefault="008C70EE">
      <w:pPr>
        <w:pStyle w:val="FootnoteText"/>
      </w:pPr>
      <w:r>
        <w:rPr>
          <w:rStyle w:val="FootnoteReference"/>
        </w:rPr>
        <w:footnoteRef/>
      </w:r>
      <w:r>
        <w:t xml:space="preserve"> </w:t>
      </w:r>
      <w:r w:rsidRPr="00000CD9">
        <w:rPr>
          <w:sz w:val="18"/>
          <w:szCs w:val="18"/>
        </w:rPr>
        <w:t xml:space="preserve">Office of the Surgeon General, U.S Surgeon General’s Advisory: Marijuana Use and the Developing Brain. Available </w:t>
      </w:r>
      <w:proofErr w:type="gramStart"/>
      <w:r w:rsidRPr="00000CD9">
        <w:rPr>
          <w:sz w:val="18"/>
          <w:szCs w:val="18"/>
        </w:rPr>
        <w:t>at:</w:t>
      </w:r>
      <w:r w:rsidRPr="00000CD9">
        <w:rPr>
          <w:rFonts w:cstheme="minorHAnsi"/>
          <w:color w:val="000000" w:themeColor="text1"/>
          <w:sz w:val="18"/>
          <w:szCs w:val="18"/>
        </w:rPr>
        <w:t>hhs.gov/surgeongeneral/reportsandpublications/addiction-and-substance-misuse/advisory-on-marijuana-use-and-developing-brain/index.html</w:t>
      </w:r>
      <w:proofErr w:type="gramEnd"/>
      <w:r w:rsidRPr="00000CD9">
        <w:rPr>
          <w:rFonts w:cstheme="minorHAnsi"/>
          <w:color w:val="000000" w:themeColor="text1"/>
          <w:sz w:val="18"/>
          <w:szCs w:val="18"/>
        </w:rPr>
        <w:t xml:space="preserve"> (last accessed June 11, 2020)</w:t>
      </w:r>
    </w:p>
  </w:footnote>
  <w:footnote w:id="22">
    <w:p w14:paraId="454BA5F0" w14:textId="485661CD" w:rsidR="00FB0E78" w:rsidRPr="00542B25" w:rsidRDefault="00FB0E78" w:rsidP="0053298B">
      <w:pPr>
        <w:rPr>
          <w:rFonts w:ascii="Calibri" w:hAnsi="Calibri" w:cs="Calibri"/>
          <w:color w:val="000000" w:themeColor="text1"/>
          <w:sz w:val="18"/>
          <w:szCs w:val="18"/>
        </w:rPr>
      </w:pPr>
      <w:r w:rsidRPr="00542B25">
        <w:rPr>
          <w:rStyle w:val="FootnoteReference"/>
          <w:rFonts w:ascii="Calibri" w:hAnsi="Calibri" w:cs="Calibri"/>
          <w:color w:val="000000" w:themeColor="text1"/>
          <w:sz w:val="18"/>
          <w:szCs w:val="18"/>
        </w:rPr>
        <w:footnoteRef/>
      </w:r>
      <w:r w:rsidRPr="00542B25">
        <w:rPr>
          <w:rFonts w:ascii="Calibri" w:hAnsi="Calibri" w:cs="Calibri"/>
          <w:color w:val="000000" w:themeColor="text1"/>
          <w:sz w:val="18"/>
          <w:szCs w:val="18"/>
        </w:rPr>
        <w:t xml:space="preserve"> Change Lab Solutions. Tobacco Retailer Density: Place-Based Strategies to Advance Health and Equity. 2019. Available at: </w:t>
      </w:r>
      <w:hyperlink r:id="rId5" w:history="1">
        <w:r w:rsidRPr="00542B25">
          <w:rPr>
            <w:rStyle w:val="Hyperlink"/>
            <w:rFonts w:ascii="Calibri" w:hAnsi="Calibri" w:cs="Calibri"/>
            <w:color w:val="000000" w:themeColor="text1"/>
            <w:sz w:val="18"/>
            <w:szCs w:val="18"/>
          </w:rPr>
          <w:t>https://www.changelabsolutions.org/sites/default/files/CLS-BG214-Tobacco_Retail_Density-Factsheet_FINAL_20190131.pdf</w:t>
        </w:r>
      </w:hyperlink>
    </w:p>
  </w:footnote>
  <w:footnote w:id="23">
    <w:p w14:paraId="07892B5C" w14:textId="77777777" w:rsidR="00FB0E78" w:rsidRPr="00542B25" w:rsidRDefault="00FB0E78" w:rsidP="00DE1E77">
      <w:pPr>
        <w:pStyle w:val="Bibliography"/>
        <w:contextualSpacing/>
        <w:rPr>
          <w:rFonts w:ascii="Calibri" w:hAnsi="Calibri" w:cs="Calibri"/>
          <w:color w:val="000000" w:themeColor="text1"/>
          <w:sz w:val="18"/>
          <w:szCs w:val="18"/>
        </w:rPr>
      </w:pPr>
      <w:r w:rsidRPr="00542B25">
        <w:rPr>
          <w:rStyle w:val="FootnoteReference"/>
          <w:rFonts w:ascii="Calibri" w:hAnsi="Calibri" w:cs="Calibri"/>
          <w:color w:val="000000" w:themeColor="text1"/>
          <w:sz w:val="18"/>
          <w:szCs w:val="18"/>
        </w:rPr>
        <w:footnoteRef/>
      </w:r>
      <w:r w:rsidRPr="00542B25">
        <w:rPr>
          <w:rFonts w:ascii="Calibri" w:hAnsi="Calibri" w:cs="Calibri"/>
          <w:color w:val="000000" w:themeColor="text1"/>
          <w:sz w:val="18"/>
          <w:szCs w:val="18"/>
        </w:rPr>
        <w:t xml:space="preserve"> Johnston LD, O’Malley PM, </w:t>
      </w:r>
      <w:proofErr w:type="spellStart"/>
      <w:r w:rsidRPr="00542B25">
        <w:rPr>
          <w:rFonts w:ascii="Calibri" w:hAnsi="Calibri" w:cs="Calibri"/>
          <w:color w:val="000000" w:themeColor="text1"/>
          <w:sz w:val="18"/>
          <w:szCs w:val="18"/>
        </w:rPr>
        <w:t>Miech</w:t>
      </w:r>
      <w:proofErr w:type="spellEnd"/>
      <w:r w:rsidRPr="00542B25">
        <w:rPr>
          <w:rFonts w:ascii="Calibri" w:hAnsi="Calibri" w:cs="Calibri"/>
          <w:color w:val="000000" w:themeColor="text1"/>
          <w:sz w:val="18"/>
          <w:szCs w:val="18"/>
        </w:rPr>
        <w:t xml:space="preserve"> RA, Bachman JG, Schulenberg JE. </w:t>
      </w:r>
      <w:r w:rsidRPr="00542B25">
        <w:rPr>
          <w:rFonts w:ascii="Calibri" w:hAnsi="Calibri" w:cs="Calibri"/>
          <w:i/>
          <w:iCs/>
          <w:color w:val="000000" w:themeColor="text1"/>
          <w:sz w:val="18"/>
          <w:szCs w:val="18"/>
        </w:rPr>
        <w:t>Monitoring the Future National Survey Results on Drug Use, 1975-2016: Overview, Key Findings on Adolescent Drug Use</w:t>
      </w:r>
      <w:r w:rsidRPr="00542B25">
        <w:rPr>
          <w:rFonts w:ascii="Calibri" w:hAnsi="Calibri" w:cs="Calibri"/>
          <w:color w:val="000000" w:themeColor="text1"/>
          <w:sz w:val="18"/>
          <w:szCs w:val="18"/>
        </w:rPr>
        <w:t>. Ann Arbor: Institute for Social Research, The University of Michigan; 2017.</w:t>
      </w:r>
    </w:p>
  </w:footnote>
  <w:footnote w:id="24">
    <w:p w14:paraId="34511D19" w14:textId="77777777" w:rsidR="00FB0E78" w:rsidRPr="00542B25" w:rsidRDefault="00FB0E78" w:rsidP="00DE1E77">
      <w:pPr>
        <w:pStyle w:val="desc"/>
        <w:shd w:val="clear" w:color="auto" w:fill="FFFFFF"/>
        <w:spacing w:before="0" w:beforeAutospacing="0" w:after="0" w:afterAutospacing="0"/>
        <w:contextualSpacing/>
        <w:rPr>
          <w:rFonts w:ascii="Calibri" w:hAnsi="Calibri" w:cs="Calibri"/>
          <w:color w:val="000000" w:themeColor="text1"/>
          <w:sz w:val="18"/>
          <w:szCs w:val="18"/>
        </w:rPr>
      </w:pPr>
      <w:r w:rsidRPr="00542B25">
        <w:rPr>
          <w:rStyle w:val="FootnoteReference"/>
          <w:rFonts w:ascii="Calibri" w:hAnsi="Calibri" w:cs="Calibri"/>
          <w:color w:val="000000" w:themeColor="text1"/>
          <w:sz w:val="18"/>
          <w:szCs w:val="18"/>
        </w:rPr>
        <w:footnoteRef/>
      </w:r>
      <w:r w:rsidRPr="00542B25">
        <w:rPr>
          <w:rFonts w:ascii="Calibri" w:hAnsi="Calibri" w:cs="Calibri"/>
          <w:color w:val="000000" w:themeColor="text1"/>
          <w:sz w:val="18"/>
          <w:szCs w:val="18"/>
        </w:rPr>
        <w:t xml:space="preserve"> Brown QL, </w:t>
      </w:r>
      <w:proofErr w:type="spellStart"/>
      <w:r w:rsidRPr="00542B25">
        <w:rPr>
          <w:rFonts w:ascii="Calibri" w:hAnsi="Calibri" w:cs="Calibri"/>
          <w:color w:val="000000" w:themeColor="text1"/>
          <w:sz w:val="18"/>
          <w:szCs w:val="18"/>
        </w:rPr>
        <w:t>Sarvet</w:t>
      </w:r>
      <w:proofErr w:type="spellEnd"/>
      <w:r w:rsidRPr="00542B25">
        <w:rPr>
          <w:rFonts w:ascii="Calibri" w:hAnsi="Calibri" w:cs="Calibri"/>
          <w:color w:val="000000" w:themeColor="text1"/>
          <w:sz w:val="18"/>
          <w:szCs w:val="18"/>
        </w:rPr>
        <w:t xml:space="preserve"> AL, </w:t>
      </w:r>
      <w:proofErr w:type="spellStart"/>
      <w:r w:rsidRPr="00542B25">
        <w:rPr>
          <w:rFonts w:ascii="Calibri" w:hAnsi="Calibri" w:cs="Calibri"/>
          <w:color w:val="000000" w:themeColor="text1"/>
          <w:sz w:val="18"/>
          <w:szCs w:val="18"/>
        </w:rPr>
        <w:t>Shmulewitz</w:t>
      </w:r>
      <w:proofErr w:type="spellEnd"/>
      <w:r w:rsidRPr="00542B25">
        <w:rPr>
          <w:rFonts w:ascii="Calibri" w:hAnsi="Calibri" w:cs="Calibri"/>
          <w:color w:val="000000" w:themeColor="text1"/>
          <w:sz w:val="18"/>
          <w:szCs w:val="18"/>
        </w:rPr>
        <w:t xml:space="preserve"> D, Martins SS, Wall MM, </w:t>
      </w:r>
      <w:proofErr w:type="spellStart"/>
      <w:r w:rsidRPr="00542B25">
        <w:rPr>
          <w:rFonts w:ascii="Calibri" w:hAnsi="Calibri" w:cs="Calibri"/>
          <w:color w:val="000000" w:themeColor="text1"/>
          <w:sz w:val="18"/>
          <w:szCs w:val="18"/>
        </w:rPr>
        <w:t>Hasin</w:t>
      </w:r>
      <w:proofErr w:type="spellEnd"/>
      <w:r w:rsidRPr="00542B25">
        <w:rPr>
          <w:rFonts w:ascii="Calibri" w:hAnsi="Calibri" w:cs="Calibri"/>
          <w:color w:val="000000" w:themeColor="text1"/>
          <w:sz w:val="18"/>
          <w:szCs w:val="18"/>
        </w:rPr>
        <w:t xml:space="preserve"> DS. </w:t>
      </w:r>
      <w:hyperlink r:id="rId6" w:history="1">
        <w:r w:rsidRPr="00542B25">
          <w:rPr>
            <w:rStyle w:val="Hyperlink"/>
            <w:rFonts w:ascii="Calibri" w:hAnsi="Calibri" w:cs="Calibri"/>
            <w:color w:val="000000" w:themeColor="text1"/>
            <w:sz w:val="18"/>
            <w:szCs w:val="18"/>
          </w:rPr>
          <w:t>Trends in </w:t>
        </w:r>
        <w:r w:rsidRPr="00542B25">
          <w:rPr>
            <w:rStyle w:val="Hyperlink"/>
            <w:rFonts w:ascii="Calibri" w:hAnsi="Calibri" w:cs="Calibri"/>
            <w:b/>
            <w:bCs/>
            <w:color w:val="000000" w:themeColor="text1"/>
            <w:sz w:val="18"/>
            <w:szCs w:val="18"/>
          </w:rPr>
          <w:t>Marijuana Use</w:t>
        </w:r>
        <w:r w:rsidRPr="00542B25">
          <w:rPr>
            <w:rStyle w:val="Hyperlink"/>
            <w:rFonts w:ascii="Calibri" w:hAnsi="Calibri" w:cs="Calibri"/>
            <w:color w:val="000000" w:themeColor="text1"/>
            <w:sz w:val="18"/>
            <w:szCs w:val="18"/>
          </w:rPr>
          <w:t> Among Pregnant and Nonpregnant Reproductive-Aged Women, 2002-2014.</w:t>
        </w:r>
      </w:hyperlink>
      <w:r w:rsidRPr="00542B25">
        <w:rPr>
          <w:rFonts w:ascii="Calibri" w:hAnsi="Calibri" w:cs="Calibri"/>
          <w:color w:val="000000" w:themeColor="text1"/>
          <w:sz w:val="18"/>
          <w:szCs w:val="18"/>
        </w:rPr>
        <w:t xml:space="preserve"> </w:t>
      </w:r>
      <w:r w:rsidRPr="00542B25">
        <w:rPr>
          <w:rStyle w:val="jrnl"/>
          <w:rFonts w:ascii="Calibri" w:hAnsi="Calibri" w:cs="Calibri"/>
          <w:b/>
          <w:bCs/>
          <w:color w:val="000000" w:themeColor="text1"/>
          <w:sz w:val="18"/>
          <w:szCs w:val="18"/>
        </w:rPr>
        <w:t>JAMA</w:t>
      </w:r>
      <w:r w:rsidRPr="00542B25">
        <w:rPr>
          <w:rFonts w:ascii="Calibri" w:hAnsi="Calibri" w:cs="Calibri"/>
          <w:color w:val="000000" w:themeColor="text1"/>
          <w:sz w:val="18"/>
          <w:szCs w:val="18"/>
        </w:rPr>
        <w:t xml:space="preserve">. 2017 Jan 10;317(2):207-209. </w:t>
      </w:r>
      <w:proofErr w:type="spellStart"/>
      <w:r w:rsidRPr="00542B25">
        <w:rPr>
          <w:rFonts w:ascii="Calibri" w:hAnsi="Calibri" w:cs="Calibri"/>
          <w:color w:val="000000" w:themeColor="text1"/>
          <w:sz w:val="18"/>
          <w:szCs w:val="18"/>
        </w:rPr>
        <w:t>doi</w:t>
      </w:r>
      <w:proofErr w:type="spellEnd"/>
      <w:r w:rsidRPr="00542B25">
        <w:rPr>
          <w:rFonts w:ascii="Calibri" w:hAnsi="Calibri" w:cs="Calibri"/>
          <w:color w:val="000000" w:themeColor="text1"/>
          <w:sz w:val="18"/>
          <w:szCs w:val="18"/>
        </w:rPr>
        <w:t>: 10.1001/</w:t>
      </w:r>
      <w:r w:rsidRPr="00542B25">
        <w:rPr>
          <w:rFonts w:ascii="Calibri" w:hAnsi="Calibri" w:cs="Calibri"/>
          <w:b/>
          <w:bCs/>
          <w:color w:val="000000" w:themeColor="text1"/>
          <w:sz w:val="18"/>
          <w:szCs w:val="18"/>
        </w:rPr>
        <w:t>jama</w:t>
      </w:r>
      <w:r w:rsidRPr="00542B25">
        <w:rPr>
          <w:rFonts w:ascii="Calibri" w:hAnsi="Calibri" w:cs="Calibri"/>
          <w:color w:val="000000" w:themeColor="text1"/>
          <w:sz w:val="18"/>
          <w:szCs w:val="18"/>
        </w:rPr>
        <w:t>.2016.17383.</w:t>
      </w:r>
    </w:p>
  </w:footnote>
  <w:footnote w:id="25">
    <w:p w14:paraId="26D61629" w14:textId="77777777" w:rsidR="00FB0E78" w:rsidRPr="00B21763" w:rsidRDefault="00FB0E78" w:rsidP="00DE1E77">
      <w:pPr>
        <w:pStyle w:val="FootnoteText"/>
        <w:rPr>
          <w:rFonts w:cstheme="minorHAnsi"/>
          <w:sz w:val="18"/>
          <w:szCs w:val="18"/>
        </w:rPr>
      </w:pPr>
      <w:r w:rsidRPr="00542B25">
        <w:rPr>
          <w:rStyle w:val="FootnoteReference"/>
          <w:rFonts w:ascii="Calibri" w:hAnsi="Calibri" w:cs="Calibri"/>
          <w:color w:val="000000" w:themeColor="text1"/>
          <w:sz w:val="18"/>
          <w:szCs w:val="18"/>
        </w:rPr>
        <w:footnoteRef/>
      </w:r>
      <w:r w:rsidRPr="00542B25">
        <w:rPr>
          <w:rFonts w:ascii="Calibri" w:hAnsi="Calibri" w:cs="Calibri"/>
          <w:color w:val="000000" w:themeColor="text1"/>
          <w:sz w:val="18"/>
          <w:szCs w:val="18"/>
        </w:rPr>
        <w:t xml:space="preserve"> Dickson, B., Mansfield, C., </w:t>
      </w:r>
      <w:proofErr w:type="spellStart"/>
      <w:r w:rsidRPr="00542B25">
        <w:rPr>
          <w:rFonts w:ascii="Calibri" w:hAnsi="Calibri" w:cs="Calibri"/>
          <w:color w:val="000000" w:themeColor="text1"/>
          <w:sz w:val="18"/>
          <w:szCs w:val="18"/>
        </w:rPr>
        <w:t>Ghiahi</w:t>
      </w:r>
      <w:proofErr w:type="spellEnd"/>
      <w:r w:rsidRPr="00542B25">
        <w:rPr>
          <w:rFonts w:ascii="Calibri" w:hAnsi="Calibri" w:cs="Calibri"/>
          <w:color w:val="000000" w:themeColor="text1"/>
          <w:sz w:val="18"/>
          <w:szCs w:val="18"/>
        </w:rPr>
        <w:t xml:space="preserve">, M., </w:t>
      </w:r>
      <w:proofErr w:type="spellStart"/>
      <w:r w:rsidRPr="00542B25">
        <w:rPr>
          <w:rFonts w:ascii="Calibri" w:hAnsi="Calibri" w:cs="Calibri"/>
          <w:color w:val="000000" w:themeColor="text1"/>
          <w:sz w:val="18"/>
          <w:szCs w:val="18"/>
        </w:rPr>
        <w:t>Allshouse</w:t>
      </w:r>
      <w:proofErr w:type="spellEnd"/>
      <w:r w:rsidRPr="00542B25">
        <w:rPr>
          <w:rFonts w:ascii="Calibri" w:hAnsi="Calibri" w:cs="Calibri"/>
          <w:color w:val="000000" w:themeColor="text1"/>
          <w:sz w:val="18"/>
          <w:szCs w:val="18"/>
        </w:rPr>
        <w:t xml:space="preserve">, A., </w:t>
      </w:r>
      <w:proofErr w:type="spellStart"/>
      <w:r w:rsidRPr="00542B25">
        <w:rPr>
          <w:rFonts w:ascii="Calibri" w:hAnsi="Calibri" w:cs="Calibri"/>
          <w:color w:val="000000" w:themeColor="text1"/>
          <w:sz w:val="18"/>
          <w:szCs w:val="18"/>
        </w:rPr>
        <w:t>Borgelt</w:t>
      </w:r>
      <w:proofErr w:type="spellEnd"/>
      <w:r w:rsidRPr="00542B25">
        <w:rPr>
          <w:rFonts w:ascii="Calibri" w:hAnsi="Calibri" w:cs="Calibri"/>
          <w:color w:val="000000" w:themeColor="text1"/>
          <w:sz w:val="18"/>
          <w:szCs w:val="18"/>
        </w:rPr>
        <w:t xml:space="preserve">, L., </w:t>
      </w:r>
      <w:proofErr w:type="spellStart"/>
      <w:r w:rsidRPr="00542B25">
        <w:rPr>
          <w:rFonts w:ascii="Calibri" w:hAnsi="Calibri" w:cs="Calibri"/>
          <w:color w:val="000000" w:themeColor="text1"/>
          <w:sz w:val="18"/>
          <w:szCs w:val="18"/>
        </w:rPr>
        <w:t>Sheeder</w:t>
      </w:r>
      <w:proofErr w:type="spellEnd"/>
      <w:r w:rsidRPr="00542B25">
        <w:rPr>
          <w:rFonts w:ascii="Calibri" w:hAnsi="Calibri" w:cs="Calibri"/>
          <w:color w:val="000000" w:themeColor="text1"/>
          <w:sz w:val="18"/>
          <w:szCs w:val="18"/>
        </w:rPr>
        <w:t xml:space="preserve">, J., Silver, R., &amp; Metz, T. (2018). Recommendations from cannabis dispensaries about first-trimester cannabis use. </w:t>
      </w:r>
      <w:r w:rsidRPr="00542B25">
        <w:rPr>
          <w:rFonts w:ascii="Calibri" w:hAnsi="Calibri" w:cs="Calibri"/>
          <w:i/>
          <w:color w:val="000000" w:themeColor="text1"/>
          <w:sz w:val="18"/>
          <w:szCs w:val="18"/>
        </w:rPr>
        <w:t>Obstetrics &amp; Gynecology, 131</w:t>
      </w:r>
      <w:r w:rsidRPr="00542B25">
        <w:rPr>
          <w:rFonts w:ascii="Calibri" w:hAnsi="Calibri" w:cs="Calibri"/>
          <w:color w:val="000000" w:themeColor="text1"/>
          <w:sz w:val="18"/>
          <w:szCs w:val="18"/>
        </w:rPr>
        <w:t>(6): 1031-1038. DOI: 10.1097/AOG.0000000000002619</w:t>
      </w:r>
    </w:p>
  </w:footnote>
  <w:footnote w:id="26">
    <w:p w14:paraId="586BE511" w14:textId="5D480F65" w:rsidR="00FB0E78" w:rsidRPr="00542B25" w:rsidRDefault="00FB0E78" w:rsidP="009D3804">
      <w:pPr>
        <w:rPr>
          <w:rFonts w:ascii="Calibri" w:hAnsi="Calibri" w:cs="Calibri"/>
          <w:sz w:val="18"/>
          <w:szCs w:val="18"/>
        </w:rPr>
      </w:pPr>
      <w:r w:rsidRPr="00542B25">
        <w:rPr>
          <w:rStyle w:val="FootnoteReference"/>
          <w:rFonts w:ascii="Calibri" w:hAnsi="Calibri" w:cs="Calibri"/>
          <w:sz w:val="18"/>
          <w:szCs w:val="18"/>
        </w:rPr>
        <w:footnoteRef/>
      </w:r>
      <w:r w:rsidRPr="00542B25">
        <w:rPr>
          <w:rFonts w:ascii="Calibri" w:hAnsi="Calibri" w:cs="Calibri"/>
          <w:sz w:val="18"/>
          <w:szCs w:val="18"/>
        </w:rPr>
        <w:t xml:space="preserve"> </w:t>
      </w:r>
      <w:r w:rsidRPr="00542B25">
        <w:rPr>
          <w:rFonts w:ascii="Calibri" w:hAnsi="Calibri" w:cs="Calibri"/>
          <w:sz w:val="18"/>
          <w:szCs w:val="18"/>
          <w:shd w:val="clear" w:color="auto" w:fill="FFFFFF"/>
        </w:rPr>
        <w:t>Ding A. (2003). Youth are more sensitive to price changes in cigarettes than adults. </w:t>
      </w:r>
      <w:r w:rsidRPr="00542B25">
        <w:rPr>
          <w:rFonts w:ascii="Calibri" w:hAnsi="Calibri" w:cs="Calibri"/>
          <w:i/>
          <w:iCs/>
          <w:sz w:val="18"/>
          <w:szCs w:val="18"/>
          <w:shd w:val="clear" w:color="auto" w:fill="FFFFFF"/>
        </w:rPr>
        <w:t>The Yale journal of biology and medicine</w:t>
      </w:r>
      <w:r w:rsidRPr="00542B25">
        <w:rPr>
          <w:rFonts w:ascii="Calibri" w:hAnsi="Calibri" w:cs="Calibri"/>
          <w:sz w:val="18"/>
          <w:szCs w:val="18"/>
          <w:shd w:val="clear" w:color="auto" w:fill="FFFFFF"/>
        </w:rPr>
        <w:t>, </w:t>
      </w:r>
      <w:r w:rsidRPr="00542B25">
        <w:rPr>
          <w:rFonts w:ascii="Calibri" w:hAnsi="Calibri" w:cs="Calibri"/>
          <w:i/>
          <w:iCs/>
          <w:sz w:val="18"/>
          <w:szCs w:val="18"/>
          <w:shd w:val="clear" w:color="auto" w:fill="FFFFFF"/>
        </w:rPr>
        <w:t>76</w:t>
      </w:r>
      <w:r w:rsidRPr="00542B25">
        <w:rPr>
          <w:rFonts w:ascii="Calibri" w:hAnsi="Calibri" w:cs="Calibri"/>
          <w:sz w:val="18"/>
          <w:szCs w:val="18"/>
          <w:shd w:val="clear" w:color="auto" w:fill="FFFFFF"/>
        </w:rPr>
        <w:t>(3), 115–124.</w:t>
      </w:r>
    </w:p>
  </w:footnote>
  <w:footnote w:id="27">
    <w:p w14:paraId="5269EEC0" w14:textId="4320A0FE" w:rsidR="00FB0E78" w:rsidRPr="00542B25" w:rsidRDefault="00FB0E78" w:rsidP="00DE2641">
      <w:pPr>
        <w:rPr>
          <w:rFonts w:ascii="Calibri" w:hAnsi="Calibri" w:cs="Calibri"/>
          <w:sz w:val="18"/>
          <w:szCs w:val="18"/>
        </w:rPr>
      </w:pPr>
      <w:r w:rsidRPr="00542B25">
        <w:rPr>
          <w:rStyle w:val="FootnoteReference"/>
          <w:rFonts w:ascii="Calibri" w:hAnsi="Calibri" w:cs="Calibri"/>
          <w:sz w:val="18"/>
          <w:szCs w:val="18"/>
        </w:rPr>
        <w:footnoteRef/>
      </w:r>
      <w:r w:rsidRPr="00542B25">
        <w:rPr>
          <w:rFonts w:ascii="Calibri" w:hAnsi="Calibri" w:cs="Calibri"/>
          <w:sz w:val="18"/>
          <w:szCs w:val="18"/>
        </w:rPr>
        <w:t xml:space="preserve"> LAO Report (2019). </w:t>
      </w:r>
      <w:r w:rsidRPr="00542B25">
        <w:rPr>
          <w:rFonts w:ascii="Calibri" w:hAnsi="Calibri" w:cs="Calibri"/>
          <w:i/>
          <w:sz w:val="18"/>
          <w:szCs w:val="18"/>
        </w:rPr>
        <w:t>How High? Adjusting California’s Cannabis Taxes</w:t>
      </w:r>
      <w:r w:rsidRPr="00542B25">
        <w:rPr>
          <w:rFonts w:ascii="Calibri" w:hAnsi="Calibri" w:cs="Calibri"/>
          <w:sz w:val="18"/>
          <w:szCs w:val="18"/>
        </w:rPr>
        <w:t xml:space="preserve">. Retrieved from: </w:t>
      </w:r>
      <w:hyperlink r:id="rId7" w:history="1">
        <w:r w:rsidRPr="00542B25">
          <w:rPr>
            <w:rStyle w:val="Hyperlink"/>
            <w:rFonts w:ascii="Calibri" w:hAnsi="Calibri" w:cs="Calibri"/>
            <w:color w:val="auto"/>
            <w:sz w:val="18"/>
            <w:szCs w:val="18"/>
          </w:rPr>
          <w:t>https://lao.ca.gov/Publications/Report/4125</w:t>
        </w:r>
      </w:hyperlink>
    </w:p>
  </w:footnote>
  <w:footnote w:id="28">
    <w:p w14:paraId="73324885" w14:textId="5E0D2D13" w:rsidR="00FB0E78" w:rsidRPr="00542B25" w:rsidRDefault="00FB0E78">
      <w:pPr>
        <w:pStyle w:val="FootnoteText"/>
        <w:rPr>
          <w:rFonts w:ascii="Calibri" w:hAnsi="Calibri" w:cs="Calibri"/>
          <w:sz w:val="18"/>
          <w:szCs w:val="18"/>
        </w:rPr>
      </w:pPr>
      <w:r w:rsidRPr="00542B25">
        <w:rPr>
          <w:rStyle w:val="FootnoteReference"/>
          <w:rFonts w:ascii="Calibri" w:hAnsi="Calibri" w:cs="Calibri"/>
          <w:sz w:val="18"/>
          <w:szCs w:val="18"/>
        </w:rPr>
        <w:footnoteRef/>
      </w:r>
      <w:r w:rsidRPr="00542B25">
        <w:rPr>
          <w:rFonts w:ascii="Calibri" w:hAnsi="Calibri" w:cs="Calibri"/>
          <w:sz w:val="18"/>
          <w:szCs w:val="18"/>
        </w:rPr>
        <w:t xml:space="preserve"> Cal. Rev and Taxation Code §34011(a). </w:t>
      </w:r>
    </w:p>
  </w:footnote>
  <w:footnote w:id="29">
    <w:p w14:paraId="26941817" w14:textId="3B82FC1B" w:rsidR="00FB0E78" w:rsidRPr="00542B25" w:rsidRDefault="00FB0E78">
      <w:pPr>
        <w:pStyle w:val="FootnoteText"/>
        <w:rPr>
          <w:rFonts w:ascii="Calibri" w:hAnsi="Calibri" w:cs="Calibri"/>
          <w:sz w:val="18"/>
          <w:szCs w:val="18"/>
        </w:rPr>
      </w:pPr>
      <w:r w:rsidRPr="00542B25">
        <w:rPr>
          <w:rStyle w:val="FootnoteReference"/>
          <w:rFonts w:ascii="Calibri" w:hAnsi="Calibri" w:cs="Calibri"/>
          <w:sz w:val="18"/>
          <w:szCs w:val="18"/>
        </w:rPr>
        <w:footnoteRef/>
      </w:r>
      <w:r w:rsidRPr="00542B25">
        <w:rPr>
          <w:rFonts w:ascii="Calibri" w:hAnsi="Calibri" w:cs="Calibri"/>
          <w:sz w:val="18"/>
          <w:szCs w:val="18"/>
        </w:rPr>
        <w:t xml:space="preserve"> Cal Rev. and Taxation Code § 34012(a).</w:t>
      </w:r>
    </w:p>
  </w:footnote>
  <w:footnote w:id="30">
    <w:p w14:paraId="3E491CC7" w14:textId="59669AE9" w:rsidR="00FB0E78" w:rsidRPr="00B21763" w:rsidRDefault="00FB0E78">
      <w:pPr>
        <w:pStyle w:val="FootnoteText"/>
        <w:rPr>
          <w:rFonts w:cstheme="minorHAnsi"/>
          <w:sz w:val="18"/>
          <w:szCs w:val="18"/>
        </w:rPr>
      </w:pPr>
      <w:r w:rsidRPr="00542B25">
        <w:rPr>
          <w:rStyle w:val="FootnoteReference"/>
          <w:rFonts w:ascii="Calibri" w:hAnsi="Calibri" w:cs="Calibri"/>
          <w:sz w:val="18"/>
          <w:szCs w:val="18"/>
        </w:rPr>
        <w:footnoteRef/>
      </w:r>
      <w:r w:rsidRPr="00542B25">
        <w:rPr>
          <w:rFonts w:ascii="Calibri" w:hAnsi="Calibri" w:cs="Calibri"/>
          <w:sz w:val="18"/>
          <w:szCs w:val="18"/>
        </w:rPr>
        <w:t xml:space="preserve"> Cal Rev. and Taxation Code §34021.5(a)(1).</w:t>
      </w:r>
      <w:r w:rsidRPr="00542B25">
        <w:rPr>
          <w:rFonts w:cstheme="minorHAnsi"/>
          <w:sz w:val="18"/>
          <w:szCs w:val="18"/>
        </w:rPr>
        <w:t xml:space="preserve"> </w:t>
      </w:r>
    </w:p>
  </w:footnote>
  <w:footnote w:id="31">
    <w:p w14:paraId="6F9F9194" w14:textId="0099848A" w:rsidR="008C70EE" w:rsidRPr="00D55F03" w:rsidRDefault="008C70EE" w:rsidP="008C70EE">
      <w:pPr>
        <w:rPr>
          <w:rFonts w:asciiTheme="minorHAnsi" w:hAnsiTheme="minorHAnsi"/>
          <w:sz w:val="18"/>
          <w:szCs w:val="18"/>
        </w:rPr>
      </w:pPr>
      <w:r w:rsidRPr="00D55F03">
        <w:rPr>
          <w:rStyle w:val="FootnoteReference"/>
          <w:rFonts w:asciiTheme="minorHAnsi" w:hAnsiTheme="minorHAnsi"/>
          <w:sz w:val="18"/>
          <w:szCs w:val="18"/>
        </w:rPr>
        <w:footnoteRef/>
      </w:r>
      <w:r w:rsidRPr="00D55F03">
        <w:rPr>
          <w:rFonts w:asciiTheme="minorHAnsi" w:hAnsiTheme="minorHAnsi"/>
          <w:sz w:val="18"/>
          <w:szCs w:val="18"/>
        </w:rPr>
        <w:t xml:space="preserve"> </w:t>
      </w:r>
      <w:r w:rsidRPr="00D55F03">
        <w:rPr>
          <w:rFonts w:asciiTheme="minorHAnsi" w:hAnsiTheme="minorHAnsi" w:cs="Calibri"/>
          <w:color w:val="000000"/>
          <w:sz w:val="18"/>
          <w:szCs w:val="18"/>
        </w:rPr>
        <w:t>Youth Forward &amp; Getting it Right from the Start. California cannabis tax revenues: A windfall for law enforcement or an opportunity for healing communities? 2020.</w:t>
      </w:r>
    </w:p>
  </w:footnote>
  <w:footnote w:id="32">
    <w:p w14:paraId="38474302" w14:textId="6A650446" w:rsidR="00FB0E78" w:rsidRPr="00542B25" w:rsidRDefault="00FB0E78">
      <w:pPr>
        <w:pStyle w:val="FootnoteText"/>
        <w:rPr>
          <w:rFonts w:ascii="Calibri" w:hAnsi="Calibri" w:cs="Calibri"/>
          <w:sz w:val="18"/>
          <w:szCs w:val="18"/>
        </w:rPr>
      </w:pPr>
      <w:r w:rsidRPr="00D55F03">
        <w:rPr>
          <w:rStyle w:val="FootnoteReference"/>
          <w:rFonts w:cstheme="minorHAnsi"/>
          <w:sz w:val="18"/>
          <w:szCs w:val="18"/>
        </w:rPr>
        <w:footnoteRef/>
      </w:r>
      <w:r w:rsidRPr="00D55F03">
        <w:rPr>
          <w:rFonts w:cstheme="minorHAnsi"/>
          <w:sz w:val="18"/>
          <w:szCs w:val="18"/>
        </w:rPr>
        <w:t xml:space="preserve"> </w:t>
      </w:r>
      <w:r w:rsidRPr="00D55F03">
        <w:rPr>
          <w:rFonts w:cs="Calibri"/>
          <w:sz w:val="18"/>
          <w:szCs w:val="18"/>
        </w:rPr>
        <w:t>Cal. Rev. and Taxation Code § 34019(f)(1).</w:t>
      </w:r>
      <w:r w:rsidRPr="00542B25">
        <w:rPr>
          <w:rFonts w:ascii="Calibri" w:hAnsi="Calibri" w:cs="Calibri"/>
          <w:sz w:val="18"/>
          <w:szCs w:val="18"/>
        </w:rPr>
        <w:t xml:space="preserve"> </w:t>
      </w:r>
    </w:p>
  </w:footnote>
  <w:footnote w:id="33">
    <w:p w14:paraId="02C7F5D5" w14:textId="1BECB402" w:rsidR="00FB0E78" w:rsidRPr="00542B25" w:rsidRDefault="00FB0E78" w:rsidP="00A136C8">
      <w:pPr>
        <w:rPr>
          <w:rFonts w:ascii="Calibri" w:hAnsi="Calibri" w:cs="Calibri"/>
          <w:sz w:val="18"/>
          <w:szCs w:val="18"/>
        </w:rPr>
      </w:pPr>
      <w:r w:rsidRPr="00542B25">
        <w:rPr>
          <w:rStyle w:val="FootnoteReference"/>
          <w:rFonts w:ascii="Calibri" w:hAnsi="Calibri" w:cs="Calibri"/>
          <w:sz w:val="18"/>
          <w:szCs w:val="18"/>
        </w:rPr>
        <w:footnoteRef/>
      </w:r>
      <w:r w:rsidRPr="00542B25">
        <w:rPr>
          <w:rFonts w:ascii="Calibri" w:hAnsi="Calibri" w:cs="Calibri"/>
          <w:sz w:val="18"/>
          <w:szCs w:val="18"/>
        </w:rPr>
        <w:t xml:space="preserve">LAO Report (2019). </w:t>
      </w:r>
      <w:r w:rsidRPr="00542B25">
        <w:rPr>
          <w:rFonts w:ascii="Calibri" w:hAnsi="Calibri" w:cs="Calibri"/>
          <w:i/>
          <w:sz w:val="18"/>
          <w:szCs w:val="18"/>
        </w:rPr>
        <w:t>How High? Adjusting California’s Cannabis Taxes</w:t>
      </w:r>
      <w:r w:rsidRPr="00542B25">
        <w:rPr>
          <w:rFonts w:ascii="Calibri" w:hAnsi="Calibri" w:cs="Calibri"/>
          <w:sz w:val="18"/>
          <w:szCs w:val="18"/>
        </w:rPr>
        <w:t xml:space="preserve">. Retrieved from: </w:t>
      </w:r>
      <w:hyperlink r:id="rId8" w:history="1">
        <w:r w:rsidRPr="00542B25">
          <w:rPr>
            <w:rStyle w:val="Hyperlink"/>
            <w:rFonts w:ascii="Calibri" w:hAnsi="Calibri" w:cs="Calibri"/>
            <w:sz w:val="18"/>
            <w:szCs w:val="18"/>
          </w:rPr>
          <w:t>https://lao.ca.gov/Publications/Report/4125</w:t>
        </w:r>
      </w:hyperlink>
      <w:r w:rsidRPr="00542B25">
        <w:rPr>
          <w:rFonts w:ascii="Calibri" w:hAnsi="Calibri" w:cs="Calibri"/>
          <w:sz w:val="18"/>
          <w:szCs w:val="18"/>
        </w:rPr>
        <w:t xml:space="preserve"> </w:t>
      </w:r>
    </w:p>
  </w:footnote>
  <w:footnote w:id="34">
    <w:p w14:paraId="45EE9278" w14:textId="16CA783B" w:rsidR="00FB0E78" w:rsidRPr="00542B25" w:rsidRDefault="00FB0E78">
      <w:pPr>
        <w:pStyle w:val="FootnoteText"/>
        <w:rPr>
          <w:rFonts w:ascii="Calibri" w:hAnsi="Calibri" w:cs="Calibri"/>
          <w:sz w:val="18"/>
          <w:szCs w:val="18"/>
        </w:rPr>
      </w:pPr>
      <w:r w:rsidRPr="00542B25">
        <w:rPr>
          <w:rStyle w:val="FootnoteReference"/>
          <w:rFonts w:ascii="Calibri" w:hAnsi="Calibri" w:cs="Calibri"/>
          <w:sz w:val="18"/>
          <w:szCs w:val="18"/>
        </w:rPr>
        <w:footnoteRef/>
      </w:r>
      <w:r w:rsidRPr="00542B25">
        <w:rPr>
          <w:rFonts w:ascii="Calibri" w:hAnsi="Calibri" w:cs="Calibri"/>
          <w:sz w:val="18"/>
          <w:szCs w:val="18"/>
        </w:rPr>
        <w:t xml:space="preserve"> </w:t>
      </w:r>
      <w:r w:rsidRPr="00EA7BF8">
        <w:rPr>
          <w:rFonts w:ascii="Calibri" w:hAnsi="Calibri" w:cs="Calibri"/>
          <w:sz w:val="18"/>
          <w:szCs w:val="18"/>
        </w:rPr>
        <w:t>van</w:t>
      </w:r>
      <w:r w:rsidRPr="00EA7BF8">
        <w:rPr>
          <w:rStyle w:val="hlfld-contribauthor"/>
          <w:rFonts w:ascii="Calibri" w:hAnsi="Calibri" w:cs="Calibri"/>
          <w:sz w:val="18"/>
          <w:szCs w:val="18"/>
          <w:shd w:val="clear" w:color="auto" w:fill="FFFFFF"/>
        </w:rPr>
        <w:t xml:space="preserve"> der Pol, </w:t>
      </w:r>
      <w:r w:rsidRPr="00EA7BF8">
        <w:rPr>
          <w:rStyle w:val="nlmgiven-names"/>
          <w:rFonts w:ascii="Calibri" w:hAnsi="Calibri" w:cs="Calibri"/>
          <w:sz w:val="18"/>
          <w:szCs w:val="18"/>
          <w:shd w:val="clear" w:color="auto" w:fill="FFFFFF"/>
        </w:rPr>
        <w:t>P.</w:t>
      </w:r>
      <w:r w:rsidRPr="00EA7BF8">
        <w:rPr>
          <w:rStyle w:val="ref-overlay"/>
          <w:rFonts w:ascii="Calibri" w:hAnsi="Calibri" w:cs="Calibri"/>
          <w:sz w:val="18"/>
          <w:szCs w:val="18"/>
          <w:shd w:val="clear" w:color="auto" w:fill="FFFFFF"/>
        </w:rPr>
        <w:t>, </w:t>
      </w:r>
      <w:proofErr w:type="spellStart"/>
      <w:r w:rsidRPr="00EA7BF8">
        <w:rPr>
          <w:rStyle w:val="hlfld-contribauthor"/>
          <w:rFonts w:ascii="Calibri" w:hAnsi="Calibri" w:cs="Calibri"/>
          <w:sz w:val="18"/>
          <w:szCs w:val="18"/>
          <w:shd w:val="clear" w:color="auto" w:fill="FFFFFF"/>
        </w:rPr>
        <w:t>Liebregts</w:t>
      </w:r>
      <w:proofErr w:type="spellEnd"/>
      <w:r w:rsidRPr="00EA7BF8">
        <w:rPr>
          <w:rStyle w:val="hlfld-contribauthor"/>
          <w:rFonts w:ascii="Calibri" w:hAnsi="Calibri" w:cs="Calibri"/>
          <w:sz w:val="18"/>
          <w:szCs w:val="18"/>
          <w:shd w:val="clear" w:color="auto" w:fill="FFFFFF"/>
        </w:rPr>
        <w:t>, </w:t>
      </w:r>
      <w:r w:rsidRPr="00EA7BF8">
        <w:rPr>
          <w:rStyle w:val="nlmgiven-names"/>
          <w:rFonts w:ascii="Calibri" w:hAnsi="Calibri" w:cs="Calibri"/>
          <w:sz w:val="18"/>
          <w:szCs w:val="18"/>
          <w:shd w:val="clear" w:color="auto" w:fill="FFFFFF"/>
        </w:rPr>
        <w:t>N.</w:t>
      </w:r>
      <w:r w:rsidRPr="00EA7BF8">
        <w:rPr>
          <w:rStyle w:val="ref-overlay"/>
          <w:rFonts w:ascii="Calibri" w:hAnsi="Calibri" w:cs="Calibri"/>
          <w:sz w:val="18"/>
          <w:szCs w:val="18"/>
          <w:shd w:val="clear" w:color="auto" w:fill="FFFFFF"/>
        </w:rPr>
        <w:t>, </w:t>
      </w:r>
      <w:r w:rsidRPr="00EA7BF8">
        <w:rPr>
          <w:rStyle w:val="hlfld-contribauthor"/>
          <w:rFonts w:ascii="Calibri" w:hAnsi="Calibri" w:cs="Calibri"/>
          <w:sz w:val="18"/>
          <w:szCs w:val="18"/>
          <w:shd w:val="clear" w:color="auto" w:fill="FFFFFF"/>
        </w:rPr>
        <w:t>Brunt, </w:t>
      </w:r>
      <w:r w:rsidRPr="00EA7BF8">
        <w:rPr>
          <w:rStyle w:val="nlmgiven-names"/>
          <w:rFonts w:ascii="Calibri" w:hAnsi="Calibri" w:cs="Calibri"/>
          <w:sz w:val="18"/>
          <w:szCs w:val="18"/>
          <w:shd w:val="clear" w:color="auto" w:fill="FFFFFF"/>
        </w:rPr>
        <w:t>T.</w:t>
      </w:r>
      <w:r w:rsidRPr="00EA7BF8">
        <w:rPr>
          <w:rStyle w:val="ref-overlay"/>
          <w:rFonts w:ascii="Calibri" w:hAnsi="Calibri" w:cs="Calibri"/>
          <w:sz w:val="18"/>
          <w:szCs w:val="18"/>
          <w:shd w:val="clear" w:color="auto" w:fill="FFFFFF"/>
        </w:rPr>
        <w:t>, </w:t>
      </w:r>
      <w:r w:rsidRPr="00EA7BF8">
        <w:rPr>
          <w:rStyle w:val="hlfld-contribauthor"/>
          <w:rFonts w:ascii="Calibri" w:hAnsi="Calibri" w:cs="Calibri"/>
          <w:sz w:val="18"/>
          <w:szCs w:val="18"/>
          <w:shd w:val="clear" w:color="auto" w:fill="FFFFFF"/>
        </w:rPr>
        <w:t>van Amsterdam, </w:t>
      </w:r>
      <w:r w:rsidRPr="00EA7BF8">
        <w:rPr>
          <w:rStyle w:val="nlmgiven-names"/>
          <w:rFonts w:ascii="Calibri" w:hAnsi="Calibri" w:cs="Calibri"/>
          <w:sz w:val="18"/>
          <w:szCs w:val="18"/>
          <w:shd w:val="clear" w:color="auto" w:fill="FFFFFF"/>
        </w:rPr>
        <w:t>J.</w:t>
      </w:r>
      <w:r w:rsidRPr="00EA7BF8">
        <w:rPr>
          <w:rStyle w:val="ref-overlay"/>
          <w:rFonts w:ascii="Calibri" w:hAnsi="Calibri" w:cs="Calibri"/>
          <w:sz w:val="18"/>
          <w:szCs w:val="18"/>
          <w:shd w:val="clear" w:color="auto" w:fill="FFFFFF"/>
        </w:rPr>
        <w:t>, </w:t>
      </w:r>
      <w:r w:rsidRPr="00EA7BF8">
        <w:rPr>
          <w:rStyle w:val="hlfld-contribauthor"/>
          <w:rFonts w:ascii="Calibri" w:hAnsi="Calibri" w:cs="Calibri"/>
          <w:sz w:val="18"/>
          <w:szCs w:val="18"/>
          <w:shd w:val="clear" w:color="auto" w:fill="FFFFFF"/>
        </w:rPr>
        <w:t>de Graaf, </w:t>
      </w:r>
      <w:r w:rsidRPr="00EA7BF8">
        <w:rPr>
          <w:rStyle w:val="nlmgiven-names"/>
          <w:rFonts w:ascii="Calibri" w:hAnsi="Calibri" w:cs="Calibri"/>
          <w:sz w:val="18"/>
          <w:szCs w:val="18"/>
          <w:shd w:val="clear" w:color="auto" w:fill="FFFFFF"/>
        </w:rPr>
        <w:t>R.</w:t>
      </w:r>
      <w:r w:rsidRPr="00EA7BF8">
        <w:rPr>
          <w:rStyle w:val="ref-overlay"/>
          <w:rFonts w:ascii="Calibri" w:hAnsi="Calibri" w:cs="Calibri"/>
          <w:sz w:val="18"/>
          <w:szCs w:val="18"/>
          <w:shd w:val="clear" w:color="auto" w:fill="FFFFFF"/>
        </w:rPr>
        <w:t>, </w:t>
      </w:r>
      <w:r w:rsidRPr="00EA7BF8">
        <w:rPr>
          <w:rStyle w:val="hlfld-contribauthor"/>
          <w:rFonts w:ascii="Calibri" w:hAnsi="Calibri" w:cs="Calibri"/>
          <w:sz w:val="18"/>
          <w:szCs w:val="18"/>
          <w:shd w:val="clear" w:color="auto" w:fill="FFFFFF"/>
        </w:rPr>
        <w:t>Korf, </w:t>
      </w:r>
      <w:r w:rsidRPr="00EA7BF8">
        <w:rPr>
          <w:rStyle w:val="nlmgiven-names"/>
          <w:rFonts w:ascii="Calibri" w:hAnsi="Calibri" w:cs="Calibri"/>
          <w:sz w:val="18"/>
          <w:szCs w:val="18"/>
          <w:shd w:val="clear" w:color="auto" w:fill="FFFFFF"/>
        </w:rPr>
        <w:t>D. J.</w:t>
      </w:r>
      <w:r w:rsidRPr="00EA7BF8">
        <w:rPr>
          <w:rStyle w:val="ref-overlay"/>
          <w:rFonts w:ascii="Calibri" w:hAnsi="Calibri" w:cs="Calibri"/>
          <w:sz w:val="18"/>
          <w:szCs w:val="18"/>
          <w:shd w:val="clear" w:color="auto" w:fill="FFFFFF"/>
        </w:rPr>
        <w:t>, … </w:t>
      </w:r>
      <w:r w:rsidRPr="00EA7BF8">
        <w:rPr>
          <w:rStyle w:val="hlfld-contribauthor"/>
          <w:rFonts w:ascii="Calibri" w:hAnsi="Calibri" w:cs="Calibri"/>
          <w:sz w:val="18"/>
          <w:szCs w:val="18"/>
          <w:shd w:val="clear" w:color="auto" w:fill="FFFFFF"/>
        </w:rPr>
        <w:t xml:space="preserve">van </w:t>
      </w:r>
      <w:proofErr w:type="spellStart"/>
      <w:r w:rsidRPr="00EA7BF8">
        <w:rPr>
          <w:rStyle w:val="hlfld-contribauthor"/>
          <w:rFonts w:ascii="Calibri" w:hAnsi="Calibri" w:cs="Calibri"/>
          <w:sz w:val="18"/>
          <w:szCs w:val="18"/>
          <w:shd w:val="clear" w:color="auto" w:fill="FFFFFF"/>
        </w:rPr>
        <w:t>Laar</w:t>
      </w:r>
      <w:proofErr w:type="spellEnd"/>
      <w:r w:rsidRPr="00EA7BF8">
        <w:rPr>
          <w:rStyle w:val="hlfld-contribauthor"/>
          <w:rFonts w:ascii="Calibri" w:hAnsi="Calibri" w:cs="Calibri"/>
          <w:sz w:val="18"/>
          <w:szCs w:val="18"/>
          <w:shd w:val="clear" w:color="auto" w:fill="FFFFFF"/>
        </w:rPr>
        <w:t>, </w:t>
      </w:r>
      <w:r w:rsidRPr="00EA7BF8">
        <w:rPr>
          <w:rStyle w:val="nlmgiven-names"/>
          <w:rFonts w:ascii="Calibri" w:hAnsi="Calibri" w:cs="Calibri"/>
          <w:sz w:val="18"/>
          <w:szCs w:val="18"/>
          <w:shd w:val="clear" w:color="auto" w:fill="FFFFFF"/>
        </w:rPr>
        <w:t>M.</w:t>
      </w:r>
      <w:r w:rsidRPr="00EA7BF8">
        <w:rPr>
          <w:rStyle w:val="ref-overlay"/>
          <w:rFonts w:ascii="Calibri" w:hAnsi="Calibri" w:cs="Calibri"/>
          <w:sz w:val="18"/>
          <w:szCs w:val="18"/>
          <w:shd w:val="clear" w:color="auto" w:fill="FFFFFF"/>
        </w:rPr>
        <w:t> (</w:t>
      </w:r>
      <w:r w:rsidRPr="00EA7BF8">
        <w:rPr>
          <w:rStyle w:val="nlmyear"/>
          <w:rFonts w:ascii="Calibri" w:hAnsi="Calibri" w:cs="Calibri"/>
          <w:sz w:val="18"/>
          <w:szCs w:val="18"/>
          <w:shd w:val="clear" w:color="auto" w:fill="FFFFFF"/>
        </w:rPr>
        <w:t>2014</w:t>
      </w:r>
      <w:r w:rsidRPr="00EA7BF8">
        <w:rPr>
          <w:rStyle w:val="ref-overlay"/>
          <w:rFonts w:ascii="Calibri" w:hAnsi="Calibri" w:cs="Calibri"/>
          <w:sz w:val="18"/>
          <w:szCs w:val="18"/>
          <w:shd w:val="clear" w:color="auto" w:fill="FFFFFF"/>
        </w:rPr>
        <w:t>). </w:t>
      </w:r>
      <w:r w:rsidRPr="00EA7BF8">
        <w:rPr>
          <w:rStyle w:val="nlmarticle-title"/>
          <w:rFonts w:ascii="Calibri" w:hAnsi="Calibri" w:cs="Calibri"/>
          <w:sz w:val="18"/>
          <w:szCs w:val="18"/>
          <w:shd w:val="clear" w:color="auto" w:fill="FFFFFF"/>
        </w:rPr>
        <w:t xml:space="preserve">Cross-sectional and prospective relation of cannabis potency, dosing and smoking </w:t>
      </w:r>
      <w:proofErr w:type="spellStart"/>
      <w:r w:rsidRPr="00EA7BF8">
        <w:rPr>
          <w:rStyle w:val="nlmarticle-title"/>
          <w:rFonts w:ascii="Calibri" w:hAnsi="Calibri" w:cs="Calibri"/>
          <w:sz w:val="18"/>
          <w:szCs w:val="18"/>
          <w:shd w:val="clear" w:color="auto" w:fill="FFFFFF"/>
        </w:rPr>
        <w:t>behaviour</w:t>
      </w:r>
      <w:proofErr w:type="spellEnd"/>
      <w:r w:rsidRPr="00EA7BF8">
        <w:rPr>
          <w:rStyle w:val="nlmarticle-title"/>
          <w:rFonts w:ascii="Calibri" w:hAnsi="Calibri" w:cs="Calibri"/>
          <w:sz w:val="18"/>
          <w:szCs w:val="18"/>
          <w:shd w:val="clear" w:color="auto" w:fill="FFFFFF"/>
        </w:rPr>
        <w:t xml:space="preserve"> with cannabis dependence: an ecological study</w:t>
      </w:r>
      <w:r w:rsidRPr="00EA7BF8">
        <w:rPr>
          <w:rStyle w:val="ref-overlay"/>
          <w:rFonts w:ascii="Calibri" w:hAnsi="Calibri" w:cs="Calibri"/>
          <w:sz w:val="18"/>
          <w:szCs w:val="18"/>
          <w:shd w:val="clear" w:color="auto" w:fill="FFFFFF"/>
        </w:rPr>
        <w:t xml:space="preserve">. </w:t>
      </w:r>
      <w:r w:rsidRPr="00EA7BF8">
        <w:rPr>
          <w:rStyle w:val="ref-overlay"/>
          <w:rFonts w:ascii="Calibri" w:hAnsi="Calibri" w:cs="Calibri"/>
          <w:i/>
          <w:sz w:val="18"/>
          <w:szCs w:val="18"/>
          <w:shd w:val="clear" w:color="auto" w:fill="FFFFFF"/>
        </w:rPr>
        <w:t>Addiction. 109</w:t>
      </w:r>
      <w:r w:rsidRPr="00EA7BF8">
        <w:rPr>
          <w:rStyle w:val="ref-overlay"/>
          <w:rFonts w:ascii="Calibri" w:hAnsi="Calibri" w:cs="Calibri"/>
          <w:sz w:val="18"/>
          <w:szCs w:val="18"/>
          <w:shd w:val="clear" w:color="auto" w:fill="FFFFFF"/>
        </w:rPr>
        <w:t>: </w:t>
      </w:r>
      <w:r w:rsidRPr="00EA7BF8">
        <w:rPr>
          <w:rStyle w:val="nlmfpage"/>
          <w:rFonts w:ascii="Calibri" w:hAnsi="Calibri" w:cs="Calibri"/>
          <w:sz w:val="18"/>
          <w:szCs w:val="18"/>
          <w:shd w:val="clear" w:color="auto" w:fill="FFFFFF"/>
        </w:rPr>
        <w:t>1101</w:t>
      </w:r>
      <w:r w:rsidRPr="00EA7BF8">
        <w:rPr>
          <w:rStyle w:val="ref-overlay"/>
          <w:rFonts w:ascii="Calibri" w:hAnsi="Calibri" w:cs="Calibri"/>
          <w:sz w:val="18"/>
          <w:szCs w:val="18"/>
          <w:shd w:val="clear" w:color="auto" w:fill="FFFFFF"/>
        </w:rPr>
        <w:t>–</w:t>
      </w:r>
      <w:r w:rsidRPr="00EA7BF8">
        <w:rPr>
          <w:rStyle w:val="nlmlpage"/>
          <w:rFonts w:ascii="Calibri" w:hAnsi="Calibri" w:cs="Calibri"/>
          <w:sz w:val="18"/>
          <w:szCs w:val="18"/>
          <w:shd w:val="clear" w:color="auto" w:fill="FFFFFF"/>
        </w:rPr>
        <w:t>1109</w:t>
      </w:r>
      <w:r w:rsidRPr="00EA7BF8">
        <w:rPr>
          <w:rStyle w:val="ref-overlay"/>
          <w:rFonts w:ascii="Calibri" w:hAnsi="Calibri" w:cs="Calibri"/>
          <w:sz w:val="18"/>
          <w:szCs w:val="18"/>
          <w:shd w:val="clear" w:color="auto" w:fill="FFFFFF"/>
        </w:rPr>
        <w:t>. doi:</w:t>
      </w:r>
      <w:r w:rsidRPr="00EA7BF8">
        <w:rPr>
          <w:rStyle w:val="ref-overlay"/>
          <w:rFonts w:ascii="Calibri" w:hAnsi="Calibri" w:cs="Calibri"/>
          <w:sz w:val="18"/>
          <w:szCs w:val="18"/>
        </w:rPr>
        <w:t>10.1111/add.12508</w:t>
      </w:r>
    </w:p>
  </w:footnote>
  <w:footnote w:id="35">
    <w:p w14:paraId="433AB68C" w14:textId="295DFEE5" w:rsidR="00FB0E78" w:rsidRPr="00542B25" w:rsidRDefault="00FB0E78">
      <w:pPr>
        <w:pStyle w:val="FootnoteText"/>
        <w:rPr>
          <w:rFonts w:ascii="Calibri" w:hAnsi="Calibri" w:cs="Calibri"/>
          <w:sz w:val="18"/>
          <w:szCs w:val="18"/>
        </w:rPr>
      </w:pPr>
      <w:r w:rsidRPr="00542B25">
        <w:rPr>
          <w:rStyle w:val="FootnoteReference"/>
          <w:rFonts w:ascii="Calibri" w:hAnsi="Calibri" w:cs="Calibri"/>
          <w:sz w:val="18"/>
          <w:szCs w:val="18"/>
        </w:rPr>
        <w:footnoteRef/>
      </w:r>
      <w:r w:rsidRPr="00542B25">
        <w:rPr>
          <w:rFonts w:ascii="Calibri" w:hAnsi="Calibri" w:cs="Calibri"/>
          <w:sz w:val="18"/>
          <w:szCs w:val="18"/>
        </w:rPr>
        <w:t xml:space="preserve"> </w:t>
      </w:r>
      <w:proofErr w:type="spellStart"/>
      <w:r w:rsidRPr="00542B25">
        <w:rPr>
          <w:rFonts w:ascii="Calibri" w:eastAsia="Times New Roman" w:hAnsi="Calibri" w:cs="Calibri"/>
          <w:color w:val="000000" w:themeColor="text1"/>
          <w:sz w:val="18"/>
          <w:szCs w:val="18"/>
        </w:rPr>
        <w:t>Loflin</w:t>
      </w:r>
      <w:proofErr w:type="spellEnd"/>
      <w:r w:rsidRPr="00542B25">
        <w:rPr>
          <w:rFonts w:ascii="Calibri" w:eastAsia="Times New Roman" w:hAnsi="Calibri" w:cs="Calibri"/>
          <w:color w:val="000000" w:themeColor="text1"/>
          <w:sz w:val="18"/>
          <w:szCs w:val="18"/>
        </w:rPr>
        <w:t xml:space="preserve">, M. and M. </w:t>
      </w:r>
      <w:proofErr w:type="spellStart"/>
      <w:r w:rsidRPr="00542B25">
        <w:rPr>
          <w:rFonts w:ascii="Calibri" w:eastAsia="Times New Roman" w:hAnsi="Calibri" w:cs="Calibri"/>
          <w:color w:val="000000" w:themeColor="text1"/>
          <w:sz w:val="18"/>
          <w:szCs w:val="18"/>
        </w:rPr>
        <w:t>Earleywine</w:t>
      </w:r>
      <w:proofErr w:type="spellEnd"/>
      <w:r w:rsidRPr="00542B25">
        <w:rPr>
          <w:rFonts w:ascii="Calibri" w:eastAsia="Times New Roman" w:hAnsi="Calibri" w:cs="Calibri"/>
          <w:color w:val="000000" w:themeColor="text1"/>
          <w:sz w:val="18"/>
          <w:szCs w:val="18"/>
        </w:rPr>
        <w:t xml:space="preserve">, A new method of cannabis ingestion: the dangers of dabs? Addict </w:t>
      </w:r>
      <w:proofErr w:type="spellStart"/>
      <w:r w:rsidRPr="00542B25">
        <w:rPr>
          <w:rFonts w:ascii="Calibri" w:eastAsia="Times New Roman" w:hAnsi="Calibri" w:cs="Calibri"/>
          <w:color w:val="000000" w:themeColor="text1"/>
          <w:sz w:val="18"/>
          <w:szCs w:val="18"/>
        </w:rPr>
        <w:t>Behav</w:t>
      </w:r>
      <w:proofErr w:type="spellEnd"/>
      <w:r w:rsidRPr="00542B25">
        <w:rPr>
          <w:rFonts w:ascii="Calibri" w:eastAsia="Times New Roman" w:hAnsi="Calibri" w:cs="Calibri"/>
          <w:color w:val="000000" w:themeColor="text1"/>
          <w:sz w:val="18"/>
          <w:szCs w:val="18"/>
        </w:rPr>
        <w:t>, 2014. 39(10): p. 1430-3.</w:t>
      </w:r>
    </w:p>
  </w:footnote>
  <w:footnote w:id="36">
    <w:p w14:paraId="4E62A7D3" w14:textId="106165A4" w:rsidR="00FB0E78" w:rsidRPr="00542B25" w:rsidRDefault="00FB0E78" w:rsidP="005B0A75">
      <w:pPr>
        <w:rPr>
          <w:rFonts w:ascii="Calibri" w:hAnsi="Calibri" w:cs="Calibri"/>
          <w:sz w:val="18"/>
          <w:szCs w:val="18"/>
        </w:rPr>
      </w:pPr>
      <w:r w:rsidRPr="00542B25">
        <w:rPr>
          <w:rStyle w:val="FootnoteReference"/>
          <w:rFonts w:ascii="Calibri" w:hAnsi="Calibri" w:cs="Calibri"/>
          <w:sz w:val="18"/>
          <w:szCs w:val="18"/>
        </w:rPr>
        <w:footnoteRef/>
      </w:r>
      <w:r w:rsidRPr="00542B25">
        <w:rPr>
          <w:rFonts w:ascii="Calibri" w:hAnsi="Calibri" w:cs="Calibri"/>
          <w:sz w:val="18"/>
          <w:szCs w:val="18"/>
        </w:rPr>
        <w:t xml:space="preserve"> </w:t>
      </w:r>
      <w:r w:rsidRPr="00EA7BF8">
        <w:rPr>
          <w:rFonts w:ascii="Calibri" w:hAnsi="Calibri" w:cs="Calibri"/>
          <w:sz w:val="18"/>
          <w:szCs w:val="18"/>
          <w:shd w:val="clear" w:color="auto" w:fill="FFFFFF"/>
        </w:rPr>
        <w:t xml:space="preserve">Di Forti, M., Morgan, C., </w:t>
      </w:r>
      <w:proofErr w:type="spellStart"/>
      <w:r w:rsidRPr="00EA7BF8">
        <w:rPr>
          <w:rFonts w:ascii="Calibri" w:hAnsi="Calibri" w:cs="Calibri"/>
          <w:sz w:val="18"/>
          <w:szCs w:val="18"/>
          <w:shd w:val="clear" w:color="auto" w:fill="FFFFFF"/>
        </w:rPr>
        <w:t>Dazzan</w:t>
      </w:r>
      <w:proofErr w:type="spellEnd"/>
      <w:r w:rsidRPr="00EA7BF8">
        <w:rPr>
          <w:rFonts w:ascii="Calibri" w:hAnsi="Calibri" w:cs="Calibri"/>
          <w:sz w:val="18"/>
          <w:szCs w:val="18"/>
          <w:shd w:val="clear" w:color="auto" w:fill="FFFFFF"/>
        </w:rPr>
        <w:t xml:space="preserve">, P., </w:t>
      </w:r>
      <w:proofErr w:type="spellStart"/>
      <w:r w:rsidRPr="00EA7BF8">
        <w:rPr>
          <w:rFonts w:ascii="Calibri" w:hAnsi="Calibri" w:cs="Calibri"/>
          <w:sz w:val="18"/>
          <w:szCs w:val="18"/>
          <w:shd w:val="clear" w:color="auto" w:fill="FFFFFF"/>
        </w:rPr>
        <w:t>Pariante</w:t>
      </w:r>
      <w:proofErr w:type="spellEnd"/>
      <w:r w:rsidRPr="00EA7BF8">
        <w:rPr>
          <w:rFonts w:ascii="Calibri" w:hAnsi="Calibri" w:cs="Calibri"/>
          <w:sz w:val="18"/>
          <w:szCs w:val="18"/>
          <w:shd w:val="clear" w:color="auto" w:fill="FFFFFF"/>
        </w:rPr>
        <w:t xml:space="preserve">, C., </w:t>
      </w:r>
      <w:proofErr w:type="spellStart"/>
      <w:r w:rsidRPr="00EA7BF8">
        <w:rPr>
          <w:rFonts w:ascii="Calibri" w:hAnsi="Calibri" w:cs="Calibri"/>
          <w:sz w:val="18"/>
          <w:szCs w:val="18"/>
          <w:shd w:val="clear" w:color="auto" w:fill="FFFFFF"/>
        </w:rPr>
        <w:t>Mondelli</w:t>
      </w:r>
      <w:proofErr w:type="spellEnd"/>
      <w:r w:rsidRPr="00EA7BF8">
        <w:rPr>
          <w:rFonts w:ascii="Calibri" w:hAnsi="Calibri" w:cs="Calibri"/>
          <w:sz w:val="18"/>
          <w:szCs w:val="18"/>
          <w:shd w:val="clear" w:color="auto" w:fill="FFFFFF"/>
        </w:rPr>
        <w:t>, V., Marques, T. R., … Murray, R. M. (2009). High-potency cannabis and the risk of psychosis. </w:t>
      </w:r>
      <w:r w:rsidRPr="00EA7BF8">
        <w:rPr>
          <w:rFonts w:ascii="Calibri" w:hAnsi="Calibri" w:cs="Calibri"/>
          <w:i/>
          <w:iCs/>
          <w:sz w:val="18"/>
          <w:szCs w:val="18"/>
          <w:shd w:val="clear" w:color="auto" w:fill="FFFFFF"/>
        </w:rPr>
        <w:t>The British journal of psychiatry : the journal of mental science</w:t>
      </w:r>
      <w:r w:rsidRPr="00EA7BF8">
        <w:rPr>
          <w:rFonts w:ascii="Calibri" w:hAnsi="Calibri" w:cs="Calibri"/>
          <w:sz w:val="18"/>
          <w:szCs w:val="18"/>
          <w:shd w:val="clear" w:color="auto" w:fill="FFFFFF"/>
        </w:rPr>
        <w:t>, </w:t>
      </w:r>
      <w:r w:rsidRPr="00EA7BF8">
        <w:rPr>
          <w:rFonts w:ascii="Calibri" w:hAnsi="Calibri" w:cs="Calibri"/>
          <w:i/>
          <w:iCs/>
          <w:sz w:val="18"/>
          <w:szCs w:val="18"/>
          <w:shd w:val="clear" w:color="auto" w:fill="FFFFFF"/>
        </w:rPr>
        <w:t>195</w:t>
      </w:r>
      <w:r w:rsidRPr="00EA7BF8">
        <w:rPr>
          <w:rFonts w:ascii="Calibri" w:hAnsi="Calibri" w:cs="Calibri"/>
          <w:sz w:val="18"/>
          <w:szCs w:val="18"/>
          <w:shd w:val="clear" w:color="auto" w:fill="FFFFFF"/>
        </w:rPr>
        <w:t>(6), 488–491. doi:10.1192/bjp.bp.109.064220</w:t>
      </w:r>
    </w:p>
  </w:footnote>
  <w:footnote w:id="37">
    <w:p w14:paraId="493F6146" w14:textId="021A3FBB" w:rsidR="00FB0E78" w:rsidRPr="00B21763" w:rsidRDefault="00FB0E78" w:rsidP="00000E35">
      <w:pPr>
        <w:rPr>
          <w:rFonts w:asciiTheme="minorHAnsi" w:hAnsiTheme="minorHAnsi" w:cstheme="minorHAnsi"/>
          <w:sz w:val="18"/>
          <w:szCs w:val="18"/>
        </w:rPr>
      </w:pPr>
      <w:r w:rsidRPr="00B21763">
        <w:rPr>
          <w:rStyle w:val="FootnoteReference"/>
          <w:rFonts w:asciiTheme="minorHAnsi" w:hAnsiTheme="minorHAnsi" w:cstheme="minorHAnsi"/>
          <w:sz w:val="18"/>
          <w:szCs w:val="18"/>
        </w:rPr>
        <w:footnoteRef/>
      </w:r>
      <w:r w:rsidRPr="00B21763">
        <w:rPr>
          <w:rFonts w:asciiTheme="minorHAnsi" w:hAnsiTheme="minorHAnsi" w:cstheme="minorHAnsi"/>
          <w:sz w:val="18"/>
          <w:szCs w:val="18"/>
        </w:rPr>
        <w:t xml:space="preserve"> </w:t>
      </w:r>
      <w:hyperlink r:id="rId9" w:history="1">
        <w:r w:rsidRPr="00B21763">
          <w:rPr>
            <w:rStyle w:val="Hyperlink"/>
            <w:rFonts w:asciiTheme="minorHAnsi" w:hAnsiTheme="minorHAnsi" w:cstheme="minorHAnsi"/>
            <w:sz w:val="18"/>
            <w:szCs w:val="18"/>
          </w:rPr>
          <w:t>https://lao.ca.gov/Publications/Report/4125</w:t>
        </w:r>
      </w:hyperlink>
    </w:p>
  </w:footnote>
  <w:footnote w:id="38">
    <w:p w14:paraId="3929D9F2" w14:textId="3FA0D99C" w:rsidR="00FB0E78" w:rsidRPr="00B21763" w:rsidRDefault="00FB0E78" w:rsidP="00000E35">
      <w:pPr>
        <w:rPr>
          <w:rFonts w:asciiTheme="minorHAnsi" w:hAnsiTheme="minorHAnsi" w:cstheme="minorHAnsi"/>
          <w:sz w:val="18"/>
          <w:szCs w:val="18"/>
        </w:rPr>
      </w:pPr>
      <w:r w:rsidRPr="00B21763">
        <w:rPr>
          <w:rStyle w:val="FootnoteReference"/>
          <w:rFonts w:asciiTheme="minorHAnsi" w:hAnsiTheme="minorHAnsi" w:cstheme="minorHAnsi"/>
          <w:sz w:val="18"/>
          <w:szCs w:val="18"/>
        </w:rPr>
        <w:footnoteRef/>
      </w:r>
      <w:r w:rsidRPr="00B21763">
        <w:rPr>
          <w:rFonts w:asciiTheme="minorHAnsi" w:hAnsiTheme="minorHAnsi" w:cstheme="minorHAnsi"/>
          <w:sz w:val="18"/>
          <w:szCs w:val="18"/>
        </w:rPr>
        <w:t xml:space="preserve"> </w:t>
      </w:r>
      <w:hyperlink r:id="rId10" w:history="1">
        <w:r w:rsidRPr="00B21763">
          <w:rPr>
            <w:rStyle w:val="Hyperlink"/>
            <w:rFonts w:asciiTheme="minorHAnsi" w:hAnsiTheme="minorHAnsi" w:cstheme="minorHAnsi"/>
            <w:sz w:val="18"/>
            <w:szCs w:val="18"/>
          </w:rPr>
          <w:t>https://lao.ca.gov/Publications/Report/4125</w:t>
        </w:r>
      </w:hyperlink>
    </w:p>
  </w:footnote>
  <w:footnote w:id="39">
    <w:p w14:paraId="301C1419" w14:textId="79F9A727" w:rsidR="00FB0E78" w:rsidRPr="008C70EE" w:rsidRDefault="00FB0E78">
      <w:pPr>
        <w:pStyle w:val="FootnoteText"/>
        <w:rPr>
          <w:rFonts w:cstheme="minorHAnsi"/>
          <w:sz w:val="18"/>
          <w:szCs w:val="18"/>
          <w:lang w:val="fr-FR"/>
        </w:rPr>
      </w:pPr>
      <w:r w:rsidRPr="00B21763">
        <w:rPr>
          <w:rStyle w:val="FootnoteReference"/>
          <w:rFonts w:cstheme="minorHAnsi"/>
          <w:sz w:val="18"/>
          <w:szCs w:val="18"/>
        </w:rPr>
        <w:footnoteRef/>
      </w:r>
      <w:r w:rsidRPr="008C70EE">
        <w:rPr>
          <w:rFonts w:cstheme="minorHAnsi"/>
          <w:sz w:val="18"/>
          <w:szCs w:val="18"/>
          <w:lang w:val="fr-FR"/>
        </w:rPr>
        <w:t xml:space="preserve"> Cal. Code Regs Tit. 16, § 5040. </w:t>
      </w:r>
    </w:p>
  </w:footnote>
  <w:footnote w:id="40">
    <w:p w14:paraId="76DF230B" w14:textId="2159B91B" w:rsidR="00FB0E78" w:rsidRPr="008C70EE" w:rsidRDefault="00FB0E78" w:rsidP="004D32A9">
      <w:pPr>
        <w:pStyle w:val="FootnoteText"/>
        <w:rPr>
          <w:rFonts w:cstheme="minorHAnsi"/>
          <w:sz w:val="18"/>
          <w:szCs w:val="18"/>
          <w:lang w:val="fr-FR"/>
        </w:rPr>
      </w:pPr>
      <w:r w:rsidRPr="00B21763">
        <w:rPr>
          <w:rStyle w:val="FootnoteReference"/>
          <w:rFonts w:cstheme="minorHAnsi"/>
          <w:sz w:val="18"/>
          <w:szCs w:val="18"/>
        </w:rPr>
        <w:footnoteRef/>
      </w:r>
      <w:r w:rsidRPr="008C70EE">
        <w:rPr>
          <w:rFonts w:cstheme="minorHAnsi"/>
          <w:sz w:val="18"/>
          <w:szCs w:val="18"/>
          <w:lang w:val="fr-FR"/>
        </w:rPr>
        <w:t xml:space="preserve"> Cal. Code Regs. Tit. 16, § 5411. </w:t>
      </w:r>
    </w:p>
  </w:footnote>
  <w:footnote w:id="41">
    <w:p w14:paraId="5A887033" w14:textId="04A841C7" w:rsidR="00FB0E78" w:rsidRPr="00B21763" w:rsidRDefault="00FB0E78" w:rsidP="000C2B4F">
      <w:pPr>
        <w:rPr>
          <w:rFonts w:asciiTheme="minorHAnsi" w:hAnsiTheme="minorHAnsi" w:cstheme="minorHAnsi"/>
          <w:sz w:val="18"/>
          <w:szCs w:val="18"/>
        </w:rPr>
      </w:pPr>
      <w:r w:rsidRPr="00B21763">
        <w:rPr>
          <w:rStyle w:val="FootnoteReference"/>
          <w:rFonts w:asciiTheme="minorHAnsi" w:hAnsiTheme="minorHAnsi" w:cstheme="minorHAnsi"/>
          <w:sz w:val="18"/>
          <w:szCs w:val="18"/>
        </w:rPr>
        <w:footnoteRef/>
      </w:r>
      <w:r w:rsidRPr="00B21763">
        <w:rPr>
          <w:rFonts w:asciiTheme="minorHAnsi" w:hAnsiTheme="minorHAnsi" w:cstheme="minorHAnsi"/>
          <w:sz w:val="18"/>
          <w:szCs w:val="18"/>
        </w:rPr>
        <w:t xml:space="preserve"> </w:t>
      </w:r>
      <w:r w:rsidRPr="00B21763">
        <w:rPr>
          <w:rFonts w:asciiTheme="minorHAnsi" w:hAnsiTheme="minorHAnsi" w:cstheme="minorHAnsi"/>
          <w:sz w:val="18"/>
          <w:szCs w:val="18"/>
          <w:shd w:val="clear" w:color="auto" w:fill="FFFFFF"/>
        </w:rPr>
        <w:t>Caraballo, R. S., Wang, X., &amp; Xu, X. (2014). Can you refuse these discounts? An evaluation of the use and price discount impact of price-related promotions among US adult smokers by cigarette manufacturers. </w:t>
      </w:r>
      <w:r w:rsidRPr="00B21763">
        <w:rPr>
          <w:rFonts w:asciiTheme="minorHAnsi" w:hAnsiTheme="minorHAnsi" w:cstheme="minorHAnsi"/>
          <w:i/>
          <w:iCs/>
          <w:sz w:val="18"/>
          <w:szCs w:val="18"/>
          <w:shd w:val="clear" w:color="auto" w:fill="FFFFFF"/>
        </w:rPr>
        <w:t>BMJ open</w:t>
      </w:r>
      <w:r w:rsidRPr="00B21763">
        <w:rPr>
          <w:rFonts w:asciiTheme="minorHAnsi" w:hAnsiTheme="minorHAnsi" w:cstheme="minorHAnsi"/>
          <w:sz w:val="18"/>
          <w:szCs w:val="18"/>
          <w:shd w:val="clear" w:color="auto" w:fill="FFFFFF"/>
        </w:rPr>
        <w:t>, </w:t>
      </w:r>
      <w:r w:rsidRPr="00B21763">
        <w:rPr>
          <w:rFonts w:asciiTheme="minorHAnsi" w:hAnsiTheme="minorHAnsi" w:cstheme="minorHAnsi"/>
          <w:i/>
          <w:iCs/>
          <w:sz w:val="18"/>
          <w:szCs w:val="18"/>
          <w:shd w:val="clear" w:color="auto" w:fill="FFFFFF"/>
        </w:rPr>
        <w:t>4</w:t>
      </w:r>
      <w:r w:rsidRPr="00B21763">
        <w:rPr>
          <w:rFonts w:asciiTheme="minorHAnsi" w:hAnsiTheme="minorHAnsi" w:cstheme="minorHAnsi"/>
          <w:sz w:val="18"/>
          <w:szCs w:val="18"/>
          <w:shd w:val="clear" w:color="auto" w:fill="FFFFFF"/>
        </w:rPr>
        <w:t>(6), e004685. doi:10.1136/bmjopen-2013-004685</w:t>
      </w:r>
    </w:p>
  </w:footnote>
  <w:footnote w:id="42">
    <w:p w14:paraId="0836CDF7" w14:textId="49E390DD" w:rsidR="00FB0E78" w:rsidRPr="00B21763" w:rsidRDefault="00FB0E78" w:rsidP="00101C11">
      <w:pPr>
        <w:rPr>
          <w:rFonts w:asciiTheme="minorHAnsi" w:hAnsiTheme="minorHAnsi" w:cstheme="minorHAnsi"/>
          <w:sz w:val="18"/>
          <w:szCs w:val="18"/>
        </w:rPr>
      </w:pPr>
      <w:r w:rsidRPr="00B21763">
        <w:rPr>
          <w:rStyle w:val="FootnoteReference"/>
          <w:rFonts w:asciiTheme="minorHAnsi" w:hAnsiTheme="minorHAnsi" w:cstheme="minorHAnsi"/>
          <w:sz w:val="18"/>
          <w:szCs w:val="18"/>
        </w:rPr>
        <w:footnoteRef/>
      </w:r>
      <w:r w:rsidRPr="00B21763">
        <w:rPr>
          <w:rFonts w:asciiTheme="minorHAnsi" w:hAnsiTheme="minorHAnsi" w:cstheme="minorHAnsi"/>
          <w:sz w:val="18"/>
          <w:szCs w:val="18"/>
        </w:rPr>
        <w:t xml:space="preserve"> </w:t>
      </w:r>
      <w:hyperlink r:id="rId11" w:history="1">
        <w:r w:rsidRPr="00B21763">
          <w:rPr>
            <w:rStyle w:val="Hyperlink"/>
            <w:rFonts w:asciiTheme="minorHAnsi" w:hAnsiTheme="minorHAnsi" w:cstheme="minorHAnsi"/>
            <w:sz w:val="18"/>
            <w:szCs w:val="18"/>
          </w:rPr>
          <w:t>https://www.tobaccofreekids.org/assets/factsheets/0146.pdf</w:t>
        </w:r>
      </w:hyperlink>
    </w:p>
  </w:footnote>
  <w:footnote w:id="43">
    <w:p w14:paraId="4BB956B0" w14:textId="77777777" w:rsidR="00FB0E78" w:rsidRPr="00B21763" w:rsidRDefault="00FB0E78" w:rsidP="00644BC2">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Kessler, G. Amended Final Opinion in US. V Philip Morris USA Inc. United States District Court for the District of Columbia. Civil Action No. 99-2496 (GK) </w:t>
      </w:r>
      <w:r w:rsidRPr="00B21763">
        <w:rPr>
          <w:rFonts w:cstheme="minorHAnsi"/>
          <w:color w:val="000000"/>
          <w:sz w:val="18"/>
          <w:szCs w:val="18"/>
          <w:shd w:val="clear" w:color="auto" w:fill="FFFFFF"/>
        </w:rPr>
        <w:t>449 F.Supp.2d 1 (D.D.C. 2006)</w:t>
      </w:r>
    </w:p>
  </w:footnote>
  <w:footnote w:id="44">
    <w:p w14:paraId="203F8557" w14:textId="77777777" w:rsidR="00FB0E78" w:rsidRPr="00B21763" w:rsidRDefault="00FB0E78" w:rsidP="00644BC2">
      <w:pPr>
        <w:rPr>
          <w:rFonts w:asciiTheme="minorHAnsi" w:hAnsiTheme="minorHAnsi" w:cstheme="minorHAnsi"/>
          <w:color w:val="000000" w:themeColor="text1"/>
          <w:sz w:val="18"/>
          <w:szCs w:val="18"/>
        </w:rPr>
      </w:pPr>
      <w:r w:rsidRPr="00B21763">
        <w:rPr>
          <w:rStyle w:val="FootnoteReference"/>
          <w:rFonts w:asciiTheme="minorHAnsi" w:hAnsiTheme="minorHAnsi" w:cstheme="minorHAnsi"/>
          <w:color w:val="000000" w:themeColor="text1"/>
          <w:sz w:val="18"/>
          <w:szCs w:val="18"/>
        </w:rPr>
        <w:footnoteRef/>
      </w:r>
      <w:r w:rsidRPr="00B21763">
        <w:rPr>
          <w:rFonts w:asciiTheme="minorHAnsi" w:hAnsiTheme="minorHAnsi" w:cstheme="minorHAnsi"/>
          <w:color w:val="000000" w:themeColor="text1"/>
          <w:sz w:val="18"/>
          <w:szCs w:val="18"/>
        </w:rPr>
        <w:t xml:space="preserve"> </w:t>
      </w:r>
      <w:proofErr w:type="spellStart"/>
      <w:r w:rsidRPr="00B21763">
        <w:rPr>
          <w:rFonts w:asciiTheme="minorHAnsi" w:hAnsiTheme="minorHAnsi" w:cstheme="minorHAnsi"/>
          <w:color w:val="000000" w:themeColor="text1"/>
          <w:sz w:val="18"/>
          <w:szCs w:val="18"/>
        </w:rPr>
        <w:t>Alzghari</w:t>
      </w:r>
      <w:proofErr w:type="spellEnd"/>
      <w:r w:rsidRPr="00B21763">
        <w:rPr>
          <w:rFonts w:asciiTheme="minorHAnsi" w:hAnsiTheme="minorHAnsi" w:cstheme="minorHAnsi"/>
          <w:color w:val="000000" w:themeColor="text1"/>
          <w:sz w:val="18"/>
          <w:szCs w:val="18"/>
        </w:rPr>
        <w:t xml:space="preserve"> S K, Fung V, </w:t>
      </w:r>
      <w:proofErr w:type="spellStart"/>
      <w:r w:rsidRPr="00B21763">
        <w:rPr>
          <w:rFonts w:asciiTheme="minorHAnsi" w:hAnsiTheme="minorHAnsi" w:cstheme="minorHAnsi"/>
          <w:color w:val="000000" w:themeColor="text1"/>
          <w:sz w:val="18"/>
          <w:szCs w:val="18"/>
        </w:rPr>
        <w:t>Rickner</w:t>
      </w:r>
      <w:proofErr w:type="spellEnd"/>
      <w:r w:rsidRPr="00B21763">
        <w:rPr>
          <w:rFonts w:asciiTheme="minorHAnsi" w:hAnsiTheme="minorHAnsi" w:cstheme="minorHAnsi"/>
          <w:color w:val="000000" w:themeColor="text1"/>
          <w:sz w:val="18"/>
          <w:szCs w:val="18"/>
        </w:rPr>
        <w:t xml:space="preserve"> S </w:t>
      </w:r>
      <w:proofErr w:type="spellStart"/>
      <w:r w:rsidRPr="00B21763">
        <w:rPr>
          <w:rFonts w:asciiTheme="minorHAnsi" w:hAnsiTheme="minorHAnsi" w:cstheme="minorHAnsi"/>
          <w:color w:val="000000" w:themeColor="text1"/>
          <w:sz w:val="18"/>
          <w:szCs w:val="18"/>
        </w:rPr>
        <w:t>S</w:t>
      </w:r>
      <w:proofErr w:type="spellEnd"/>
      <w:r w:rsidRPr="00B21763">
        <w:rPr>
          <w:rFonts w:asciiTheme="minorHAnsi" w:hAnsiTheme="minorHAnsi" w:cstheme="minorHAnsi"/>
          <w:color w:val="000000" w:themeColor="text1"/>
          <w:sz w:val="18"/>
          <w:szCs w:val="18"/>
        </w:rPr>
        <w:t xml:space="preserve">, et al. (September 11, 2017) To Dab or Not to Dab: Rising Concerns Regarding the Toxicity of Cannabis Concentrates. </w:t>
      </w:r>
      <w:proofErr w:type="spellStart"/>
      <w:r w:rsidRPr="00B21763">
        <w:rPr>
          <w:rFonts w:asciiTheme="minorHAnsi" w:hAnsiTheme="minorHAnsi" w:cstheme="minorHAnsi"/>
          <w:color w:val="000000" w:themeColor="text1"/>
          <w:sz w:val="18"/>
          <w:szCs w:val="18"/>
        </w:rPr>
        <w:t>Cureus</w:t>
      </w:r>
      <w:proofErr w:type="spellEnd"/>
      <w:r w:rsidRPr="00B21763">
        <w:rPr>
          <w:rFonts w:asciiTheme="minorHAnsi" w:hAnsiTheme="minorHAnsi" w:cstheme="minorHAnsi"/>
          <w:color w:val="000000" w:themeColor="text1"/>
          <w:sz w:val="18"/>
          <w:szCs w:val="18"/>
        </w:rPr>
        <w:t xml:space="preserve"> 9(9): e1676. DOI 10.7759/cureus.1676</w:t>
      </w:r>
    </w:p>
  </w:footnote>
  <w:footnote w:id="45">
    <w:p w14:paraId="3FEB278F" w14:textId="77777777" w:rsidR="00FB0E78" w:rsidRPr="00B21763" w:rsidRDefault="00FB0E78" w:rsidP="00644BC2">
      <w:pPr>
        <w:pStyle w:val="FootnoteText"/>
        <w:rPr>
          <w:rFonts w:cstheme="minorHAnsi"/>
          <w:sz w:val="18"/>
          <w:szCs w:val="18"/>
        </w:rPr>
      </w:pPr>
      <w:r w:rsidRPr="00B21763">
        <w:rPr>
          <w:rStyle w:val="FootnoteReference"/>
          <w:rFonts w:cstheme="minorHAnsi"/>
          <w:sz w:val="18"/>
          <w:szCs w:val="18"/>
        </w:rPr>
        <w:footnoteRef/>
      </w:r>
      <w:proofErr w:type="spellStart"/>
      <w:r w:rsidRPr="00B21763">
        <w:rPr>
          <w:rFonts w:cstheme="minorHAnsi"/>
          <w:color w:val="000000" w:themeColor="text1"/>
          <w:sz w:val="18"/>
          <w:szCs w:val="18"/>
        </w:rPr>
        <w:t>Alzghari</w:t>
      </w:r>
      <w:proofErr w:type="spellEnd"/>
      <w:r w:rsidRPr="00B21763">
        <w:rPr>
          <w:rFonts w:cstheme="minorHAnsi"/>
          <w:color w:val="000000" w:themeColor="text1"/>
          <w:sz w:val="18"/>
          <w:szCs w:val="18"/>
        </w:rPr>
        <w:t xml:space="preserve"> S K, ibid.</w:t>
      </w:r>
    </w:p>
  </w:footnote>
  <w:footnote w:id="46">
    <w:p w14:paraId="3B596155" w14:textId="77777777" w:rsidR="00FB0E78" w:rsidRPr="00B21763" w:rsidRDefault="00FB0E78" w:rsidP="00644BC2">
      <w:pPr>
        <w:rPr>
          <w:rFonts w:asciiTheme="minorHAnsi" w:hAnsiTheme="minorHAnsi" w:cstheme="minorHAnsi"/>
          <w:color w:val="000000" w:themeColor="text1"/>
          <w:sz w:val="18"/>
          <w:szCs w:val="18"/>
        </w:rPr>
      </w:pPr>
      <w:r w:rsidRPr="00B21763">
        <w:rPr>
          <w:rStyle w:val="FootnoteReference"/>
          <w:rFonts w:asciiTheme="minorHAnsi" w:hAnsiTheme="minorHAnsi" w:cstheme="minorHAnsi"/>
          <w:sz w:val="18"/>
          <w:szCs w:val="18"/>
        </w:rPr>
        <w:footnoteRef/>
      </w:r>
      <w:r w:rsidRPr="00B21763">
        <w:rPr>
          <w:rFonts w:asciiTheme="minorHAnsi" w:hAnsiTheme="minorHAnsi" w:cstheme="minorHAnsi"/>
          <w:sz w:val="18"/>
          <w:szCs w:val="18"/>
        </w:rPr>
        <w:t xml:space="preserve"> </w:t>
      </w:r>
      <w:r w:rsidRPr="00B21763">
        <w:rPr>
          <w:rFonts w:asciiTheme="minorHAnsi" w:hAnsiTheme="minorHAnsi" w:cstheme="minorHAnsi"/>
          <w:color w:val="000000" w:themeColor="text1"/>
          <w:sz w:val="18"/>
          <w:szCs w:val="18"/>
        </w:rPr>
        <w:t xml:space="preserve">Allen, J.A., et al., New product trial, use of edibles, and unexpected highs among marijuana and hashish users in Colorado. Drug Alcohol Depend, 2017. 176: p. 44-47. </w:t>
      </w:r>
    </w:p>
  </w:footnote>
  <w:footnote w:id="47">
    <w:p w14:paraId="6EF7BF2F" w14:textId="05EAD38E" w:rsidR="00FB0E78" w:rsidRPr="00B21763" w:rsidRDefault="00FB0E78" w:rsidP="00644BC2">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w:t>
      </w:r>
      <w:proofErr w:type="spellStart"/>
      <w:r w:rsidRPr="00B21763">
        <w:rPr>
          <w:rFonts w:cstheme="minorHAnsi"/>
          <w:sz w:val="18"/>
          <w:szCs w:val="18"/>
        </w:rPr>
        <w:t>Montanari</w:t>
      </w:r>
      <w:proofErr w:type="spellEnd"/>
      <w:r w:rsidRPr="00B21763">
        <w:rPr>
          <w:rFonts w:cstheme="minorHAnsi"/>
          <w:sz w:val="18"/>
          <w:szCs w:val="18"/>
        </w:rPr>
        <w:t xml:space="preserve"> , </w:t>
      </w:r>
      <w:proofErr w:type="spellStart"/>
      <w:r w:rsidRPr="00B21763">
        <w:rPr>
          <w:rFonts w:cstheme="minorHAnsi"/>
          <w:sz w:val="18"/>
          <w:szCs w:val="18"/>
        </w:rPr>
        <w:t>Guarita</w:t>
      </w:r>
      <w:proofErr w:type="spellEnd"/>
      <w:r w:rsidRPr="00B21763">
        <w:rPr>
          <w:rFonts w:cstheme="minorHAnsi"/>
          <w:sz w:val="18"/>
          <w:szCs w:val="18"/>
        </w:rPr>
        <w:t xml:space="preserve"> B, </w:t>
      </w:r>
      <w:proofErr w:type="spellStart"/>
      <w:r w:rsidRPr="00B21763">
        <w:rPr>
          <w:rFonts w:cstheme="minorHAnsi"/>
          <w:sz w:val="18"/>
          <w:szCs w:val="18"/>
        </w:rPr>
        <w:t>Mounteney</w:t>
      </w:r>
      <w:proofErr w:type="spellEnd"/>
      <w:r w:rsidRPr="00B21763">
        <w:rPr>
          <w:rFonts w:cstheme="minorHAnsi"/>
          <w:sz w:val="18"/>
          <w:szCs w:val="18"/>
        </w:rPr>
        <w:t xml:space="preserve"> J, Zipfel N, Simon R, Cannabis Use among People Entering Drug Treatment in Europe: A Growing Phenomenon? Eur Addict Res 2017;23:113-121</w:t>
      </w:r>
    </w:p>
  </w:footnote>
  <w:footnote w:id="48">
    <w:p w14:paraId="316E6EF4" w14:textId="6EE83E23" w:rsidR="00FB0E78" w:rsidRPr="00B21763" w:rsidRDefault="00FB0E78" w:rsidP="00644BC2">
      <w:pPr>
        <w:rPr>
          <w:rFonts w:asciiTheme="minorHAnsi" w:hAnsiTheme="minorHAnsi" w:cstheme="minorHAnsi"/>
          <w:sz w:val="18"/>
          <w:szCs w:val="18"/>
        </w:rPr>
      </w:pPr>
      <w:r w:rsidRPr="00B21763">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B21763">
        <w:rPr>
          <w:rFonts w:asciiTheme="minorHAnsi" w:hAnsiTheme="minorHAnsi" w:cstheme="minorHAnsi"/>
          <w:sz w:val="18"/>
          <w:szCs w:val="18"/>
        </w:rPr>
        <w:t xml:space="preserve">Surgeon General, Preventing Tobacco Use Among Youth and Young Adults: A Report of the Surgeon General. 2012, Department of Health and Human Services. </w:t>
      </w:r>
    </w:p>
  </w:footnote>
  <w:footnote w:id="49">
    <w:p w14:paraId="74A34A4C" w14:textId="77777777" w:rsidR="00FB0E78" w:rsidRPr="00B21763" w:rsidRDefault="00FB0E78" w:rsidP="00644BC2">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w:t>
      </w:r>
      <w:proofErr w:type="spellStart"/>
      <w:r w:rsidRPr="00B21763">
        <w:rPr>
          <w:rFonts w:cstheme="minorHAnsi"/>
          <w:color w:val="000000" w:themeColor="text1"/>
          <w:sz w:val="18"/>
          <w:szCs w:val="18"/>
        </w:rPr>
        <w:t>Villanti</w:t>
      </w:r>
      <w:proofErr w:type="spellEnd"/>
      <w:r w:rsidRPr="00B21763">
        <w:rPr>
          <w:rFonts w:cstheme="minorHAnsi"/>
          <w:color w:val="000000" w:themeColor="text1"/>
          <w:sz w:val="18"/>
          <w:szCs w:val="18"/>
        </w:rPr>
        <w:t xml:space="preserve">, A.C., et al., Flavored Tobacco Product Use in Youth and Adults: Findings From the First Wave of the PATH Study (2013-2014). Am J </w:t>
      </w:r>
      <w:proofErr w:type="spellStart"/>
      <w:r w:rsidRPr="00B21763">
        <w:rPr>
          <w:rFonts w:cstheme="minorHAnsi"/>
          <w:color w:val="000000" w:themeColor="text1"/>
          <w:sz w:val="18"/>
          <w:szCs w:val="18"/>
        </w:rPr>
        <w:t>Prev</w:t>
      </w:r>
      <w:proofErr w:type="spellEnd"/>
      <w:r w:rsidRPr="00B21763">
        <w:rPr>
          <w:rFonts w:cstheme="minorHAnsi"/>
          <w:color w:val="000000" w:themeColor="text1"/>
          <w:sz w:val="18"/>
          <w:szCs w:val="18"/>
        </w:rPr>
        <w:t xml:space="preserve"> Med, 2017. 53(2): p. 139-151.</w:t>
      </w:r>
    </w:p>
  </w:footnote>
  <w:footnote w:id="50">
    <w:p w14:paraId="376646A3" w14:textId="77777777" w:rsidR="00FB0E78" w:rsidRPr="00B21763" w:rsidRDefault="00FB0E78" w:rsidP="00644BC2">
      <w:pPr>
        <w:rPr>
          <w:rFonts w:asciiTheme="minorHAnsi" w:hAnsiTheme="minorHAnsi" w:cstheme="minorHAnsi"/>
          <w:color w:val="000000" w:themeColor="text1"/>
          <w:sz w:val="18"/>
          <w:szCs w:val="18"/>
        </w:rPr>
      </w:pPr>
      <w:r w:rsidRPr="00B21763">
        <w:rPr>
          <w:rStyle w:val="FootnoteReference"/>
          <w:rFonts w:asciiTheme="minorHAnsi" w:hAnsiTheme="minorHAnsi" w:cstheme="minorHAnsi"/>
          <w:sz w:val="18"/>
          <w:szCs w:val="18"/>
        </w:rPr>
        <w:footnoteRef/>
      </w:r>
      <w:r w:rsidRPr="00B21763">
        <w:rPr>
          <w:rFonts w:asciiTheme="minorHAnsi" w:hAnsiTheme="minorHAnsi" w:cstheme="minorHAnsi"/>
          <w:sz w:val="18"/>
          <w:szCs w:val="18"/>
        </w:rPr>
        <w:t xml:space="preserve"> </w:t>
      </w:r>
      <w:r w:rsidRPr="00B21763">
        <w:rPr>
          <w:rFonts w:asciiTheme="minorHAnsi" w:hAnsiTheme="minorHAnsi" w:cstheme="minorHAnsi"/>
          <w:color w:val="000000" w:themeColor="text1"/>
          <w:sz w:val="18"/>
          <w:szCs w:val="18"/>
        </w:rPr>
        <w:t xml:space="preserve">Carpenter, C.M., et al., New cigarette brands with flavors that appeal to youth: tobacco marketing strategies. Health </w:t>
      </w:r>
      <w:proofErr w:type="spellStart"/>
      <w:r w:rsidRPr="00B21763">
        <w:rPr>
          <w:rFonts w:asciiTheme="minorHAnsi" w:hAnsiTheme="minorHAnsi" w:cstheme="minorHAnsi"/>
          <w:color w:val="000000" w:themeColor="text1"/>
          <w:sz w:val="18"/>
          <w:szCs w:val="18"/>
        </w:rPr>
        <w:t>Aff</w:t>
      </w:r>
      <w:proofErr w:type="spellEnd"/>
      <w:r w:rsidRPr="00B21763">
        <w:rPr>
          <w:rFonts w:asciiTheme="minorHAnsi" w:hAnsiTheme="minorHAnsi" w:cstheme="minorHAnsi"/>
          <w:color w:val="000000" w:themeColor="text1"/>
          <w:sz w:val="18"/>
          <w:szCs w:val="18"/>
        </w:rPr>
        <w:t xml:space="preserve"> (Millwood), 2005. 24(6): p. 1601-10. </w:t>
      </w:r>
    </w:p>
  </w:footnote>
  <w:footnote w:id="51">
    <w:p w14:paraId="69B0ACF6" w14:textId="77777777" w:rsidR="00FB0E78" w:rsidRPr="00B21763" w:rsidRDefault="00FB0E78" w:rsidP="00644BC2">
      <w:pPr>
        <w:rPr>
          <w:rFonts w:asciiTheme="minorHAnsi" w:hAnsiTheme="minorHAnsi" w:cstheme="minorHAnsi"/>
          <w:color w:val="000000" w:themeColor="text1"/>
          <w:sz w:val="18"/>
          <w:szCs w:val="18"/>
        </w:rPr>
      </w:pPr>
      <w:r w:rsidRPr="00B21763">
        <w:rPr>
          <w:rStyle w:val="FootnoteReference"/>
          <w:rFonts w:asciiTheme="minorHAnsi" w:hAnsiTheme="minorHAnsi" w:cstheme="minorHAnsi"/>
          <w:sz w:val="18"/>
          <w:szCs w:val="18"/>
        </w:rPr>
        <w:footnoteRef/>
      </w:r>
      <w:r w:rsidRPr="00B21763">
        <w:rPr>
          <w:rFonts w:asciiTheme="minorHAnsi" w:hAnsiTheme="minorHAnsi" w:cstheme="minorHAnsi"/>
          <w:sz w:val="18"/>
          <w:szCs w:val="18"/>
        </w:rPr>
        <w:t xml:space="preserve"> </w:t>
      </w:r>
      <w:r w:rsidRPr="00B21763">
        <w:rPr>
          <w:rFonts w:asciiTheme="minorHAnsi" w:hAnsiTheme="minorHAnsi" w:cstheme="minorHAnsi"/>
          <w:color w:val="000000" w:themeColor="text1"/>
          <w:sz w:val="18"/>
          <w:szCs w:val="18"/>
        </w:rPr>
        <w:t xml:space="preserve">McDonald, E.A. and P.M. Ling, One of several 'toys' for smoking: young adult experiences with electronic cigarettes in New York City. </w:t>
      </w:r>
      <w:proofErr w:type="spellStart"/>
      <w:r w:rsidRPr="00B21763">
        <w:rPr>
          <w:rFonts w:asciiTheme="minorHAnsi" w:hAnsiTheme="minorHAnsi" w:cstheme="minorHAnsi"/>
          <w:color w:val="000000" w:themeColor="text1"/>
          <w:sz w:val="18"/>
          <w:szCs w:val="18"/>
        </w:rPr>
        <w:t>Tob</w:t>
      </w:r>
      <w:proofErr w:type="spellEnd"/>
      <w:r w:rsidRPr="00B21763">
        <w:rPr>
          <w:rFonts w:asciiTheme="minorHAnsi" w:hAnsiTheme="minorHAnsi" w:cstheme="minorHAnsi"/>
          <w:color w:val="000000" w:themeColor="text1"/>
          <w:sz w:val="18"/>
          <w:szCs w:val="18"/>
        </w:rPr>
        <w:t xml:space="preserve"> Control, 2015. 24(6): p. 588-93. </w:t>
      </w:r>
    </w:p>
  </w:footnote>
  <w:footnote w:id="52">
    <w:p w14:paraId="39E839BA" w14:textId="77777777" w:rsidR="00FB0E78" w:rsidRPr="00B21763" w:rsidRDefault="00FB0E78" w:rsidP="00644BC2">
      <w:pPr>
        <w:rPr>
          <w:rFonts w:asciiTheme="minorHAnsi" w:hAnsiTheme="minorHAnsi" w:cstheme="minorHAnsi"/>
          <w:color w:val="000000" w:themeColor="text1"/>
          <w:sz w:val="18"/>
          <w:szCs w:val="18"/>
        </w:rPr>
      </w:pPr>
      <w:r w:rsidRPr="00B21763">
        <w:rPr>
          <w:rStyle w:val="FootnoteReference"/>
          <w:rFonts w:asciiTheme="minorHAnsi" w:hAnsiTheme="minorHAnsi" w:cstheme="minorHAnsi"/>
          <w:sz w:val="18"/>
          <w:szCs w:val="18"/>
        </w:rPr>
        <w:footnoteRef/>
      </w:r>
      <w:r w:rsidRPr="00B21763">
        <w:rPr>
          <w:rFonts w:asciiTheme="minorHAnsi" w:hAnsiTheme="minorHAnsi" w:cstheme="minorHAnsi"/>
          <w:sz w:val="18"/>
          <w:szCs w:val="18"/>
        </w:rPr>
        <w:t xml:space="preserve"> </w:t>
      </w:r>
      <w:r w:rsidRPr="00B21763">
        <w:rPr>
          <w:rFonts w:asciiTheme="minorHAnsi" w:hAnsiTheme="minorHAnsi" w:cstheme="minorHAnsi"/>
          <w:color w:val="000000" w:themeColor="text1"/>
          <w:sz w:val="18"/>
          <w:szCs w:val="18"/>
        </w:rPr>
        <w:t xml:space="preserve">Kong, G., et al., Reasons for Electronic Cigarette Experimentation and Discontinuation Among Adolescents and Young Adults. Nicotine </w:t>
      </w:r>
      <w:proofErr w:type="spellStart"/>
      <w:r w:rsidRPr="00B21763">
        <w:rPr>
          <w:rFonts w:asciiTheme="minorHAnsi" w:hAnsiTheme="minorHAnsi" w:cstheme="minorHAnsi"/>
          <w:color w:val="000000" w:themeColor="text1"/>
          <w:sz w:val="18"/>
          <w:szCs w:val="18"/>
        </w:rPr>
        <w:t>Tob</w:t>
      </w:r>
      <w:proofErr w:type="spellEnd"/>
      <w:r w:rsidRPr="00B21763">
        <w:rPr>
          <w:rFonts w:asciiTheme="minorHAnsi" w:hAnsiTheme="minorHAnsi" w:cstheme="minorHAnsi"/>
          <w:color w:val="000000" w:themeColor="text1"/>
          <w:sz w:val="18"/>
          <w:szCs w:val="18"/>
        </w:rPr>
        <w:t xml:space="preserve"> Res, 2015. 17(7): p. 847-54. </w:t>
      </w:r>
    </w:p>
  </w:footnote>
  <w:footnote w:id="53">
    <w:p w14:paraId="1CFB5EAD" w14:textId="77777777" w:rsidR="00FB0E78" w:rsidRPr="00B21763" w:rsidRDefault="00FB0E78" w:rsidP="00644BC2">
      <w:pPr>
        <w:rPr>
          <w:rFonts w:asciiTheme="minorHAnsi" w:hAnsiTheme="minorHAnsi" w:cstheme="minorHAnsi"/>
          <w:color w:val="000000" w:themeColor="text1"/>
          <w:sz w:val="18"/>
          <w:szCs w:val="18"/>
        </w:rPr>
      </w:pPr>
      <w:r w:rsidRPr="00B21763">
        <w:rPr>
          <w:rStyle w:val="FootnoteReference"/>
          <w:rFonts w:asciiTheme="minorHAnsi" w:hAnsiTheme="minorHAnsi" w:cstheme="minorHAnsi"/>
          <w:sz w:val="18"/>
          <w:szCs w:val="18"/>
        </w:rPr>
        <w:footnoteRef/>
      </w:r>
      <w:r w:rsidRPr="00B21763">
        <w:rPr>
          <w:rFonts w:asciiTheme="minorHAnsi" w:hAnsiTheme="minorHAnsi" w:cstheme="minorHAnsi"/>
          <w:color w:val="000000" w:themeColor="text1"/>
          <w:sz w:val="18"/>
          <w:szCs w:val="18"/>
        </w:rPr>
        <w:t xml:space="preserve"> Ambrose, B.K., et al., Flavored Tobacco Product Use Among US Youth Aged 12- 17 Years, 2013-2014. JAMA, 2015. 314(17): p. 1871-3. </w:t>
      </w:r>
    </w:p>
  </w:footnote>
  <w:footnote w:id="54">
    <w:p w14:paraId="726BDEF9" w14:textId="77777777" w:rsidR="00FB0E78" w:rsidRPr="00B21763" w:rsidRDefault="00FB0E78" w:rsidP="00644BC2">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w:t>
      </w:r>
      <w:proofErr w:type="spellStart"/>
      <w:r w:rsidRPr="00B21763">
        <w:rPr>
          <w:rFonts w:cstheme="minorHAnsi"/>
          <w:color w:val="000000" w:themeColor="text1"/>
          <w:sz w:val="18"/>
          <w:szCs w:val="18"/>
        </w:rPr>
        <w:t>Courtemanche</w:t>
      </w:r>
      <w:proofErr w:type="spellEnd"/>
      <w:r w:rsidRPr="00B21763">
        <w:rPr>
          <w:rFonts w:cstheme="minorHAnsi"/>
          <w:color w:val="000000" w:themeColor="text1"/>
          <w:sz w:val="18"/>
          <w:szCs w:val="18"/>
        </w:rPr>
        <w:t xml:space="preserve">, C.J., M.K. Palmer, and M.F. </w:t>
      </w:r>
      <w:proofErr w:type="spellStart"/>
      <w:r w:rsidRPr="00B21763">
        <w:rPr>
          <w:rFonts w:cstheme="minorHAnsi"/>
          <w:color w:val="000000" w:themeColor="text1"/>
          <w:sz w:val="18"/>
          <w:szCs w:val="18"/>
        </w:rPr>
        <w:t>Pesko</w:t>
      </w:r>
      <w:proofErr w:type="spellEnd"/>
      <w:r w:rsidRPr="00B21763">
        <w:rPr>
          <w:rFonts w:cstheme="minorHAnsi"/>
          <w:color w:val="000000" w:themeColor="text1"/>
          <w:sz w:val="18"/>
          <w:szCs w:val="18"/>
        </w:rPr>
        <w:t xml:space="preserve">, Influence of the Flavored Cigarette Ban on Adolescent Tobacco Use. Am J </w:t>
      </w:r>
      <w:proofErr w:type="spellStart"/>
      <w:r w:rsidRPr="00B21763">
        <w:rPr>
          <w:rFonts w:cstheme="minorHAnsi"/>
          <w:color w:val="000000" w:themeColor="text1"/>
          <w:sz w:val="18"/>
          <w:szCs w:val="18"/>
        </w:rPr>
        <w:t>Prev</w:t>
      </w:r>
      <w:proofErr w:type="spellEnd"/>
      <w:r w:rsidRPr="00B21763">
        <w:rPr>
          <w:rFonts w:cstheme="minorHAnsi"/>
          <w:color w:val="000000" w:themeColor="text1"/>
          <w:sz w:val="18"/>
          <w:szCs w:val="18"/>
        </w:rPr>
        <w:t xml:space="preserve"> Med, 2017. 52(5): p. e139-e146. </w:t>
      </w:r>
    </w:p>
  </w:footnote>
  <w:footnote w:id="55">
    <w:p w14:paraId="0D49A126" w14:textId="77777777" w:rsidR="00FB0E78" w:rsidRPr="00766638" w:rsidRDefault="00FB0E78" w:rsidP="00644BC2">
      <w:pPr>
        <w:pStyle w:val="FootnoteText"/>
        <w:rPr>
          <w:rFonts w:cstheme="minorHAnsi"/>
          <w:sz w:val="18"/>
          <w:szCs w:val="18"/>
        </w:rPr>
      </w:pPr>
      <w:r w:rsidRPr="00766638">
        <w:rPr>
          <w:rStyle w:val="FootnoteReference"/>
          <w:rFonts w:cstheme="minorHAnsi"/>
          <w:sz w:val="18"/>
          <w:szCs w:val="18"/>
        </w:rPr>
        <w:footnoteRef/>
      </w:r>
      <w:r w:rsidRPr="00766638">
        <w:rPr>
          <w:rFonts w:cstheme="minorHAnsi"/>
          <w:sz w:val="18"/>
          <w:szCs w:val="18"/>
        </w:rPr>
        <w:t xml:space="preserve"> Malik VS, Popkin BM, Bray GA, </w:t>
      </w:r>
      <w:proofErr w:type="spellStart"/>
      <w:r w:rsidRPr="00766638">
        <w:rPr>
          <w:rFonts w:cstheme="minorHAnsi"/>
          <w:sz w:val="18"/>
          <w:szCs w:val="18"/>
        </w:rPr>
        <w:t>Despres</w:t>
      </w:r>
      <w:proofErr w:type="spellEnd"/>
      <w:r w:rsidRPr="00766638">
        <w:rPr>
          <w:rFonts w:cstheme="minorHAnsi"/>
          <w:sz w:val="18"/>
          <w:szCs w:val="18"/>
        </w:rPr>
        <w:t xml:space="preserve"> JP, Hu FB. Sugar-sweetened beverages, obesity, type 2 diabetes mellitus, and cardiovascular disease risk. </w:t>
      </w:r>
      <w:r w:rsidRPr="00766638">
        <w:rPr>
          <w:rFonts w:cstheme="minorHAnsi"/>
          <w:i/>
          <w:iCs/>
          <w:sz w:val="18"/>
          <w:szCs w:val="18"/>
        </w:rPr>
        <w:t>Circulation</w:t>
      </w:r>
      <w:r w:rsidRPr="00766638">
        <w:rPr>
          <w:rFonts w:cstheme="minorHAnsi"/>
          <w:sz w:val="18"/>
          <w:szCs w:val="18"/>
        </w:rPr>
        <w:t>. 2010;121(11):1356-1364</w:t>
      </w:r>
    </w:p>
  </w:footnote>
  <w:footnote w:id="56">
    <w:p w14:paraId="03505E4B" w14:textId="39A08F1F" w:rsidR="00FB0E78" w:rsidRPr="00766638" w:rsidRDefault="00FB0E78">
      <w:pPr>
        <w:pStyle w:val="FootnoteText"/>
        <w:rPr>
          <w:sz w:val="18"/>
          <w:szCs w:val="18"/>
        </w:rPr>
      </w:pPr>
      <w:r w:rsidRPr="008C70EE">
        <w:rPr>
          <w:rStyle w:val="FootnoteReference"/>
          <w:sz w:val="18"/>
          <w:szCs w:val="18"/>
        </w:rPr>
        <w:footnoteRef/>
      </w:r>
      <w:r w:rsidRPr="00766638">
        <w:rPr>
          <w:sz w:val="18"/>
          <w:szCs w:val="18"/>
        </w:rPr>
        <w:t xml:space="preserve"> Siegel M, </w:t>
      </w:r>
      <w:r w:rsidRPr="00766638">
        <w:rPr>
          <w:color w:val="000000"/>
          <w:sz w:val="18"/>
          <w:szCs w:val="18"/>
        </w:rPr>
        <w:t xml:space="preserve">Chen K, DeJong W, </w:t>
      </w:r>
      <w:proofErr w:type="spellStart"/>
      <w:r w:rsidRPr="00766638">
        <w:rPr>
          <w:color w:val="000000"/>
          <w:sz w:val="18"/>
          <w:szCs w:val="18"/>
        </w:rPr>
        <w:t>Naimi</w:t>
      </w:r>
      <w:proofErr w:type="spellEnd"/>
      <w:r w:rsidRPr="00766638">
        <w:rPr>
          <w:color w:val="000000"/>
          <w:sz w:val="18"/>
          <w:szCs w:val="18"/>
        </w:rPr>
        <w:t xml:space="preserve"> T, </w:t>
      </w:r>
      <w:proofErr w:type="spellStart"/>
      <w:r w:rsidRPr="00766638">
        <w:rPr>
          <w:color w:val="000000"/>
          <w:sz w:val="18"/>
          <w:szCs w:val="18"/>
        </w:rPr>
        <w:t>Ostroff</w:t>
      </w:r>
      <w:proofErr w:type="spellEnd"/>
      <w:r w:rsidRPr="00766638">
        <w:rPr>
          <w:color w:val="000000"/>
          <w:sz w:val="18"/>
          <w:szCs w:val="18"/>
        </w:rPr>
        <w:t xml:space="preserve"> J, Ross C et al. Differences in alcohol brand consumption between underage youth and adults –</w:t>
      </w:r>
      <w:r w:rsidRPr="00766638">
        <w:rPr>
          <w:color w:val="211D1E"/>
          <w:sz w:val="18"/>
          <w:szCs w:val="18"/>
        </w:rPr>
        <w:t>United States, 2012. Substance Abuse. 2015;36(1):106-112.</w:t>
      </w:r>
    </w:p>
  </w:footnote>
  <w:footnote w:id="57">
    <w:p w14:paraId="68BE6EDA" w14:textId="03E47464" w:rsidR="00FB0E78" w:rsidRPr="00766638" w:rsidRDefault="00FB0E78">
      <w:pPr>
        <w:pStyle w:val="FootnoteText"/>
        <w:rPr>
          <w:sz w:val="18"/>
          <w:szCs w:val="18"/>
        </w:rPr>
      </w:pPr>
      <w:r w:rsidRPr="00766638">
        <w:rPr>
          <w:rStyle w:val="FootnoteReference"/>
          <w:sz w:val="18"/>
          <w:szCs w:val="18"/>
        </w:rPr>
        <w:footnoteRef/>
      </w:r>
      <w:r w:rsidRPr="00766638">
        <w:rPr>
          <w:sz w:val="18"/>
          <w:szCs w:val="18"/>
        </w:rPr>
        <w:t xml:space="preserve"> </w:t>
      </w:r>
      <w:r w:rsidRPr="00766638">
        <w:rPr>
          <w:color w:val="000000"/>
          <w:sz w:val="18"/>
          <w:szCs w:val="18"/>
        </w:rPr>
        <w:t xml:space="preserve">Grube J. Alcohol in the media: Drinking portrayals, alcohol advertising, and alcohol consumption among youth. </w:t>
      </w:r>
      <w:r w:rsidRPr="00766638">
        <w:rPr>
          <w:i/>
          <w:iCs/>
          <w:color w:val="211D1E"/>
          <w:sz w:val="18"/>
          <w:szCs w:val="18"/>
        </w:rPr>
        <w:t>Reducing Underage Drinking: A Collective Responsibility</w:t>
      </w:r>
      <w:r w:rsidRPr="00766638">
        <w:rPr>
          <w:color w:val="211D1E"/>
          <w:sz w:val="18"/>
          <w:szCs w:val="18"/>
        </w:rPr>
        <w:t>. 2004. The National Academies Press: Washington, D.C.</w:t>
      </w:r>
    </w:p>
  </w:footnote>
  <w:footnote w:id="58">
    <w:p w14:paraId="2C0704A2" w14:textId="2827E0ED" w:rsidR="00FB0E78" w:rsidRDefault="00FB0E78">
      <w:pPr>
        <w:pStyle w:val="FootnoteText"/>
      </w:pPr>
      <w:r w:rsidRPr="00766638">
        <w:rPr>
          <w:rStyle w:val="FootnoteReference"/>
          <w:sz w:val="18"/>
          <w:szCs w:val="18"/>
        </w:rPr>
        <w:footnoteRef/>
      </w:r>
      <w:r w:rsidRPr="00766638">
        <w:rPr>
          <w:sz w:val="18"/>
          <w:szCs w:val="18"/>
        </w:rPr>
        <w:t xml:space="preserve"> </w:t>
      </w:r>
      <w:r w:rsidRPr="00766638">
        <w:rPr>
          <w:color w:val="000000"/>
          <w:sz w:val="18"/>
          <w:szCs w:val="18"/>
        </w:rPr>
        <w:t xml:space="preserve">Albers A, Siegel M, Ramirez R, Ross C, DeJong W, &amp; Jernigan D. Flavored alcoholic beverage use, risky drinking behaviors, and adverse </w:t>
      </w:r>
      <w:r w:rsidRPr="00766638">
        <w:rPr>
          <w:color w:val="211D1E"/>
          <w:sz w:val="18"/>
          <w:szCs w:val="18"/>
        </w:rPr>
        <w:t xml:space="preserve">outcomes among underage drinkers: Results from the ABRAND Study. </w:t>
      </w:r>
      <w:r w:rsidRPr="00766638">
        <w:rPr>
          <w:i/>
          <w:iCs/>
          <w:color w:val="211D1E"/>
          <w:sz w:val="18"/>
          <w:szCs w:val="18"/>
        </w:rPr>
        <w:t>Research &amp; Practice</w:t>
      </w:r>
      <w:r w:rsidRPr="00766638">
        <w:rPr>
          <w:color w:val="211D1E"/>
          <w:sz w:val="18"/>
          <w:szCs w:val="18"/>
        </w:rPr>
        <w:t>. 2015; 105(4): 810-815.</w:t>
      </w:r>
    </w:p>
  </w:footnote>
  <w:footnote w:id="59">
    <w:p w14:paraId="416EAFD9" w14:textId="0DDDBD5D" w:rsidR="00FB0E78" w:rsidRPr="00B21763" w:rsidRDefault="00FB0E78">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w:t>
      </w:r>
      <w:proofErr w:type="spellStart"/>
      <w:r w:rsidRPr="00B21763">
        <w:rPr>
          <w:rFonts w:cstheme="minorHAnsi"/>
          <w:sz w:val="18"/>
          <w:szCs w:val="18"/>
        </w:rPr>
        <w:t>Ellickson</w:t>
      </w:r>
      <w:proofErr w:type="spellEnd"/>
      <w:r w:rsidRPr="00B21763">
        <w:rPr>
          <w:rFonts w:cstheme="minorHAnsi"/>
          <w:sz w:val="18"/>
          <w:szCs w:val="18"/>
        </w:rPr>
        <w:t xml:space="preserve">, P.L., Collins, R.L., </w:t>
      </w:r>
      <w:proofErr w:type="spellStart"/>
      <w:r w:rsidRPr="00B21763">
        <w:rPr>
          <w:rFonts w:cstheme="minorHAnsi"/>
          <w:sz w:val="18"/>
          <w:szCs w:val="18"/>
        </w:rPr>
        <w:t>Hambarsoomians</w:t>
      </w:r>
      <w:proofErr w:type="spellEnd"/>
      <w:r w:rsidRPr="00B21763">
        <w:rPr>
          <w:rFonts w:cstheme="minorHAnsi"/>
          <w:sz w:val="18"/>
          <w:szCs w:val="18"/>
        </w:rPr>
        <w:t>, K., McCaffrey, D.F. Does alcohol advertising promote adolescent drinking? Results from a longitudinal assessment. Addiction 2005; 100:235-46.</w:t>
      </w:r>
    </w:p>
  </w:footnote>
  <w:footnote w:id="60">
    <w:p w14:paraId="5D84485E" w14:textId="6C48AF0C" w:rsidR="00FB0E78" w:rsidRPr="00B21763" w:rsidRDefault="00FB0E78">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Jernigan, D., Noel, J., Landon J., Thornton, N., </w:t>
      </w:r>
      <w:proofErr w:type="spellStart"/>
      <w:r w:rsidRPr="00B21763">
        <w:rPr>
          <w:rFonts w:cstheme="minorHAnsi"/>
          <w:sz w:val="18"/>
          <w:szCs w:val="18"/>
        </w:rPr>
        <w:t>Lobstein</w:t>
      </w:r>
      <w:proofErr w:type="spellEnd"/>
      <w:r w:rsidRPr="00B21763">
        <w:rPr>
          <w:rFonts w:cstheme="minorHAnsi"/>
          <w:sz w:val="18"/>
          <w:szCs w:val="18"/>
        </w:rPr>
        <w:t>, T. Alcohol marketing and youth alcohol consumption: a systematic review of longitudinal studies published since 2008. Addiction 2017; 112-:7-20.</w:t>
      </w:r>
    </w:p>
  </w:footnote>
  <w:footnote w:id="61">
    <w:p w14:paraId="03A2BD28" w14:textId="1499469D" w:rsidR="00FB0E78" w:rsidRPr="00B21763" w:rsidRDefault="00FB0E78">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Smith, L.A., Foxcroft, D.R. The effect of alcohol advertising, marketing and portrayal on drinking behavior in young people: systematic review of prospective cohort studies. BMC Public Health 2009; 9:51.</w:t>
      </w:r>
    </w:p>
  </w:footnote>
  <w:footnote w:id="62">
    <w:p w14:paraId="31983CEA" w14:textId="3D835DFB" w:rsidR="00FB0E78" w:rsidRPr="00B21763" w:rsidRDefault="00FB0E78">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Duke, J.C., Lee, Y.O., Kim, A.E., et al. Exposure to electronic cigarette television advertisements among youth and young adults. Pediatrics 2014; 134(1):e29-e36.</w:t>
      </w:r>
    </w:p>
  </w:footnote>
  <w:footnote w:id="63">
    <w:p w14:paraId="4A8EC4BB" w14:textId="417C1609" w:rsidR="00FB0E78" w:rsidRPr="00B21763" w:rsidRDefault="00FB0E78">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Cal Bus &amp; Prof Code §26152(g).</w:t>
      </w:r>
    </w:p>
  </w:footnote>
  <w:footnote w:id="64">
    <w:p w14:paraId="2E15A8D3" w14:textId="4C1411DB" w:rsidR="00FB0E78" w:rsidRPr="00B21763" w:rsidRDefault="00FB0E78">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Cal. Code Regs Tit. 16, § 5040. Advertising Placement</w:t>
      </w:r>
    </w:p>
  </w:footnote>
  <w:footnote w:id="65">
    <w:p w14:paraId="16B38FC6" w14:textId="1D550D5A" w:rsidR="00FB0E78" w:rsidRPr="00B21763" w:rsidRDefault="00FB0E78">
      <w:pPr>
        <w:pStyle w:val="FootnoteText"/>
        <w:rPr>
          <w:rFonts w:cstheme="minorHAnsi"/>
          <w:sz w:val="18"/>
          <w:szCs w:val="18"/>
        </w:rPr>
      </w:pPr>
      <w:r w:rsidRPr="00B21763">
        <w:rPr>
          <w:rStyle w:val="FootnoteReference"/>
          <w:rFonts w:cstheme="minorHAnsi"/>
          <w:sz w:val="18"/>
          <w:szCs w:val="18"/>
        </w:rPr>
        <w:footnoteRef/>
      </w:r>
      <w:r w:rsidRPr="00B21763">
        <w:rPr>
          <w:rFonts w:cstheme="minorHAnsi"/>
          <w:sz w:val="18"/>
          <w:szCs w:val="18"/>
        </w:rPr>
        <w:t xml:space="preserve"> Cal. Bus &amp; Prof Code §26152(g)</w:t>
      </w:r>
    </w:p>
  </w:footnote>
  <w:footnote w:id="66">
    <w:p w14:paraId="30999264" w14:textId="7FBA21F2" w:rsidR="00FB0E78" w:rsidRPr="008C70EE" w:rsidRDefault="00FB0E78">
      <w:pPr>
        <w:pStyle w:val="FootnoteText"/>
        <w:rPr>
          <w:rFonts w:cstheme="minorHAnsi"/>
          <w:sz w:val="18"/>
          <w:szCs w:val="18"/>
          <w:lang w:val="fr-FR"/>
        </w:rPr>
      </w:pPr>
      <w:r w:rsidRPr="00B21763">
        <w:rPr>
          <w:rStyle w:val="FootnoteReference"/>
          <w:rFonts w:cstheme="minorHAnsi"/>
          <w:sz w:val="18"/>
          <w:szCs w:val="18"/>
        </w:rPr>
        <w:footnoteRef/>
      </w:r>
      <w:r w:rsidRPr="008C70EE">
        <w:rPr>
          <w:rFonts w:cstheme="minorHAnsi"/>
          <w:sz w:val="18"/>
          <w:szCs w:val="18"/>
          <w:lang w:val="fr-FR"/>
        </w:rPr>
        <w:t xml:space="preserve"> Ellickson et al. Ibid</w:t>
      </w:r>
    </w:p>
  </w:footnote>
  <w:footnote w:id="67">
    <w:p w14:paraId="17E5DEF3" w14:textId="678A3A6D" w:rsidR="00FB0E78" w:rsidRPr="00B21763" w:rsidRDefault="00FB0E78">
      <w:pPr>
        <w:pStyle w:val="FootnoteText"/>
        <w:rPr>
          <w:rFonts w:cstheme="minorHAnsi"/>
          <w:sz w:val="18"/>
          <w:szCs w:val="18"/>
        </w:rPr>
      </w:pPr>
      <w:r w:rsidRPr="00B21763">
        <w:rPr>
          <w:rStyle w:val="FootnoteReference"/>
          <w:rFonts w:cstheme="minorHAnsi"/>
          <w:sz w:val="18"/>
          <w:szCs w:val="18"/>
        </w:rPr>
        <w:footnoteRef/>
      </w:r>
      <w:r w:rsidRPr="008C70EE">
        <w:rPr>
          <w:rFonts w:cstheme="minorHAnsi"/>
          <w:sz w:val="18"/>
          <w:szCs w:val="18"/>
          <w:lang w:val="fr-FR"/>
        </w:rPr>
        <w:t xml:space="preserve"> Duck et al. </w:t>
      </w:r>
      <w:r w:rsidRPr="00B21763">
        <w:rPr>
          <w:rFonts w:cstheme="minorHAnsi"/>
          <w:sz w:val="18"/>
          <w:szCs w:val="18"/>
        </w:rPr>
        <w:t>Ibid</w:t>
      </w:r>
    </w:p>
  </w:footnote>
  <w:footnote w:id="68">
    <w:p w14:paraId="742AC477" w14:textId="3C7C2135" w:rsidR="00FB0E78" w:rsidRPr="005E7DD1" w:rsidRDefault="00FB0E78" w:rsidP="00311D00">
      <w:pPr>
        <w:pStyle w:val="Bibliography"/>
        <w:contextualSpacing/>
        <w:rPr>
          <w:rFonts w:cstheme="minorHAnsi"/>
          <w:color w:val="000000" w:themeColor="text1"/>
          <w:sz w:val="18"/>
          <w:szCs w:val="18"/>
        </w:rPr>
      </w:pPr>
      <w:r w:rsidRPr="00B21763">
        <w:rPr>
          <w:rStyle w:val="FootnoteReference"/>
          <w:rFonts w:cstheme="minorHAnsi"/>
          <w:color w:val="000000" w:themeColor="text1"/>
          <w:sz w:val="18"/>
          <w:szCs w:val="18"/>
        </w:rPr>
        <w:footnoteRef/>
      </w:r>
      <w:r w:rsidRPr="00B21763">
        <w:rPr>
          <w:rFonts w:cstheme="minorHAnsi"/>
          <w:color w:val="000000" w:themeColor="text1"/>
          <w:sz w:val="18"/>
          <w:szCs w:val="18"/>
        </w:rPr>
        <w:t xml:space="preserve"> Johnston et</w:t>
      </w:r>
      <w:r>
        <w:rPr>
          <w:rFonts w:cstheme="minorHAnsi"/>
          <w:color w:val="000000" w:themeColor="text1"/>
          <w:sz w:val="18"/>
          <w:szCs w:val="18"/>
        </w:rPr>
        <w:t xml:space="preserve"> al. Ibid</w:t>
      </w:r>
      <w:r w:rsidRPr="005E7DD1">
        <w:rPr>
          <w:rFonts w:cstheme="minorHAnsi"/>
          <w:color w:val="000000" w:themeColor="text1"/>
          <w:sz w:val="18"/>
          <w:szCs w:val="18"/>
        </w:rPr>
        <w:t>.</w:t>
      </w:r>
    </w:p>
  </w:footnote>
  <w:footnote w:id="69">
    <w:p w14:paraId="51DBD185" w14:textId="56958F07" w:rsidR="00FB0E78" w:rsidRDefault="00FB0E78">
      <w:pPr>
        <w:pStyle w:val="FootnoteText"/>
      </w:pPr>
      <w:r>
        <w:rPr>
          <w:rStyle w:val="FootnoteReference"/>
        </w:rPr>
        <w:footnoteRef/>
      </w:r>
      <w:r>
        <w:t xml:space="preserve"> </w:t>
      </w:r>
      <w:r w:rsidRPr="007A6306">
        <w:rPr>
          <w:rFonts w:cstheme="minorHAnsi"/>
          <w:sz w:val="18"/>
          <w:szCs w:val="18"/>
          <w:shd w:val="clear" w:color="auto" w:fill="FFFFFF"/>
        </w:rPr>
        <w:t xml:space="preserve">Krauss, M. J., </w:t>
      </w:r>
      <w:proofErr w:type="spellStart"/>
      <w:r w:rsidRPr="007A6306">
        <w:rPr>
          <w:rFonts w:cstheme="minorHAnsi"/>
          <w:sz w:val="18"/>
          <w:szCs w:val="18"/>
          <w:shd w:val="clear" w:color="auto" w:fill="FFFFFF"/>
        </w:rPr>
        <w:t>Sowles</w:t>
      </w:r>
      <w:proofErr w:type="spellEnd"/>
      <w:r w:rsidRPr="007A6306">
        <w:rPr>
          <w:rFonts w:cstheme="minorHAnsi"/>
          <w:sz w:val="18"/>
          <w:szCs w:val="18"/>
          <w:shd w:val="clear" w:color="auto" w:fill="FFFFFF"/>
        </w:rPr>
        <w:t xml:space="preserve">, S. J., </w:t>
      </w:r>
      <w:proofErr w:type="spellStart"/>
      <w:r w:rsidRPr="007A6306">
        <w:rPr>
          <w:rFonts w:cstheme="minorHAnsi"/>
          <w:sz w:val="18"/>
          <w:szCs w:val="18"/>
          <w:shd w:val="clear" w:color="auto" w:fill="FFFFFF"/>
        </w:rPr>
        <w:t>Sehi</w:t>
      </w:r>
      <w:proofErr w:type="spellEnd"/>
      <w:r w:rsidRPr="007A6306">
        <w:rPr>
          <w:rFonts w:cstheme="minorHAnsi"/>
          <w:sz w:val="18"/>
          <w:szCs w:val="18"/>
          <w:shd w:val="clear" w:color="auto" w:fill="FFFFFF"/>
        </w:rPr>
        <w:t xml:space="preserve">, A., </w:t>
      </w:r>
      <w:proofErr w:type="spellStart"/>
      <w:r w:rsidRPr="007A6306">
        <w:rPr>
          <w:rFonts w:cstheme="minorHAnsi"/>
          <w:sz w:val="18"/>
          <w:szCs w:val="18"/>
          <w:shd w:val="clear" w:color="auto" w:fill="FFFFFF"/>
        </w:rPr>
        <w:t>Spitznagel</w:t>
      </w:r>
      <w:proofErr w:type="spellEnd"/>
      <w:r w:rsidRPr="007A6306">
        <w:rPr>
          <w:rFonts w:cstheme="minorHAnsi"/>
          <w:sz w:val="18"/>
          <w:szCs w:val="18"/>
          <w:shd w:val="clear" w:color="auto" w:fill="FFFFFF"/>
        </w:rPr>
        <w:t xml:space="preserve">, E. L., Berg, C. J., </w:t>
      </w:r>
      <w:proofErr w:type="spellStart"/>
      <w:r w:rsidRPr="007A6306">
        <w:rPr>
          <w:rFonts w:cstheme="minorHAnsi"/>
          <w:sz w:val="18"/>
          <w:szCs w:val="18"/>
          <w:shd w:val="clear" w:color="auto" w:fill="FFFFFF"/>
        </w:rPr>
        <w:t>Bierut</w:t>
      </w:r>
      <w:proofErr w:type="spellEnd"/>
      <w:r w:rsidRPr="007A6306">
        <w:rPr>
          <w:rFonts w:cstheme="minorHAnsi"/>
          <w:sz w:val="18"/>
          <w:szCs w:val="18"/>
          <w:shd w:val="clear" w:color="auto" w:fill="FFFFFF"/>
        </w:rPr>
        <w:t>, L. J., &amp; Cavazos-</w:t>
      </w:r>
      <w:proofErr w:type="spellStart"/>
      <w:r w:rsidRPr="007A6306">
        <w:rPr>
          <w:rFonts w:cstheme="minorHAnsi"/>
          <w:sz w:val="18"/>
          <w:szCs w:val="18"/>
          <w:shd w:val="clear" w:color="auto" w:fill="FFFFFF"/>
        </w:rPr>
        <w:t>Rehg</w:t>
      </w:r>
      <w:proofErr w:type="spellEnd"/>
      <w:r w:rsidRPr="007A6306">
        <w:rPr>
          <w:rFonts w:cstheme="minorHAnsi"/>
          <w:sz w:val="18"/>
          <w:szCs w:val="18"/>
          <w:shd w:val="clear" w:color="auto" w:fill="FFFFFF"/>
        </w:rPr>
        <w:t>, P. A. (2017). Marijuana advertising exposure among current marijuana users in the U.S. </w:t>
      </w:r>
      <w:r w:rsidRPr="007A6306">
        <w:rPr>
          <w:rFonts w:cstheme="minorHAnsi"/>
          <w:i/>
          <w:iCs/>
          <w:sz w:val="18"/>
          <w:szCs w:val="18"/>
          <w:shd w:val="clear" w:color="auto" w:fill="FFFFFF"/>
        </w:rPr>
        <w:t>Drug and alcohol dependence</w:t>
      </w:r>
      <w:r w:rsidRPr="007A6306">
        <w:rPr>
          <w:rFonts w:cstheme="minorHAnsi"/>
          <w:sz w:val="18"/>
          <w:szCs w:val="18"/>
          <w:shd w:val="clear" w:color="auto" w:fill="FFFFFF"/>
        </w:rPr>
        <w:t>, </w:t>
      </w:r>
      <w:r w:rsidRPr="007A6306">
        <w:rPr>
          <w:rFonts w:cstheme="minorHAnsi"/>
          <w:i/>
          <w:iCs/>
          <w:sz w:val="18"/>
          <w:szCs w:val="18"/>
          <w:shd w:val="clear" w:color="auto" w:fill="FFFFFF"/>
        </w:rPr>
        <w:t>174</w:t>
      </w:r>
      <w:r w:rsidRPr="007A6306">
        <w:rPr>
          <w:rFonts w:cstheme="minorHAnsi"/>
          <w:sz w:val="18"/>
          <w:szCs w:val="18"/>
          <w:shd w:val="clear" w:color="auto" w:fill="FFFFFF"/>
        </w:rPr>
        <w:t>, 192–200. doi:10.1016/j.drugalcdep.2017.01.017</w:t>
      </w:r>
    </w:p>
  </w:footnote>
  <w:footnote w:id="70">
    <w:p w14:paraId="198A91A1" w14:textId="5631D492" w:rsidR="00FB0E78" w:rsidRPr="00B21763" w:rsidRDefault="00FB0E78" w:rsidP="005B0A75">
      <w:pPr>
        <w:rPr>
          <w:rFonts w:cstheme="minorHAnsi"/>
          <w:sz w:val="18"/>
          <w:szCs w:val="18"/>
        </w:rPr>
      </w:pPr>
      <w:r w:rsidRPr="009D3804">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9D3804">
        <w:rPr>
          <w:rFonts w:asciiTheme="minorHAnsi" w:hAnsiTheme="minorHAnsi" w:cstheme="minorHAnsi"/>
          <w:color w:val="000000"/>
          <w:sz w:val="18"/>
          <w:szCs w:val="18"/>
        </w:rPr>
        <w:t xml:space="preserve">U.S. </w:t>
      </w:r>
      <w:r w:rsidRPr="00B21763">
        <w:rPr>
          <w:rFonts w:asciiTheme="minorHAnsi" w:hAnsiTheme="minorHAnsi" w:cstheme="minorHAnsi"/>
          <w:color w:val="000000"/>
          <w:sz w:val="18"/>
          <w:szCs w:val="18"/>
        </w:rPr>
        <w:t>Department of Health and Human Services. </w:t>
      </w:r>
      <w:r w:rsidRPr="00B21763">
        <w:rPr>
          <w:rFonts w:asciiTheme="minorHAnsi" w:hAnsiTheme="minorHAnsi" w:cstheme="minorHAnsi"/>
          <w:i/>
          <w:iCs/>
          <w:color w:val="000000"/>
          <w:sz w:val="18"/>
          <w:szCs w:val="18"/>
        </w:rPr>
        <w:t>Preventing Tobacco Use Among Youth and Young Adults: A Report of the Surgeon General.</w:t>
      </w:r>
      <w:r w:rsidRPr="00B21763">
        <w:rPr>
          <w:rFonts w:asciiTheme="minorHAnsi" w:hAnsiTheme="minorHAnsi" w:cstheme="minorHAnsi"/>
          <w:color w:val="000000"/>
          <w:sz w:val="18"/>
          <w:szCs w:val="18"/>
        </w:rPr>
        <w:t> Atlanta, GA: Centers for Disease Control and Prevention, National Center on Chronic Disease Prevention and Health Promotion, Office on Smoking and Health; 2012. http://www.surgeongeneral.gov/library/reports/preventing-youth-tobacco-use/full-report.pdf.</w:t>
      </w:r>
    </w:p>
  </w:footnote>
  <w:footnote w:id="71">
    <w:p w14:paraId="2284CF62" w14:textId="7C92EE8D" w:rsidR="00FB0E78" w:rsidRDefault="00FB0E78">
      <w:pPr>
        <w:pStyle w:val="FootnoteText"/>
      </w:pPr>
      <w:r w:rsidRPr="00B21763">
        <w:rPr>
          <w:rStyle w:val="FootnoteReference"/>
          <w:sz w:val="18"/>
          <w:szCs w:val="18"/>
        </w:rPr>
        <w:footnoteRef/>
      </w:r>
      <w:r w:rsidRPr="00B21763">
        <w:rPr>
          <w:sz w:val="18"/>
          <w:szCs w:val="18"/>
        </w:rPr>
        <w:t xml:space="preserve"> Cal Bus. And Prof. Code §26154.</w:t>
      </w:r>
      <w:r>
        <w:t xml:space="preserve"> </w:t>
      </w:r>
    </w:p>
  </w:footnote>
  <w:footnote w:id="72">
    <w:p w14:paraId="0464F652" w14:textId="28571C3A" w:rsidR="00FB0E78" w:rsidRPr="008C70EE" w:rsidRDefault="00FB0E78" w:rsidP="008C70EE">
      <w:pPr>
        <w:rPr>
          <w:rFonts w:asciiTheme="minorHAnsi" w:hAnsiTheme="minorHAnsi" w:cstheme="minorHAnsi"/>
          <w:sz w:val="18"/>
          <w:szCs w:val="18"/>
        </w:rPr>
      </w:pPr>
      <w:r w:rsidRPr="008C70EE">
        <w:rPr>
          <w:rStyle w:val="FootnoteReference"/>
          <w:rFonts w:asciiTheme="minorHAnsi" w:hAnsiTheme="minorHAnsi" w:cstheme="minorHAnsi"/>
          <w:sz w:val="18"/>
          <w:szCs w:val="18"/>
        </w:rPr>
        <w:footnoteRef/>
      </w:r>
      <w:r w:rsidRPr="008C70EE">
        <w:rPr>
          <w:rFonts w:asciiTheme="minorHAnsi" w:hAnsiTheme="minorHAnsi" w:cstheme="minorHAnsi"/>
          <w:sz w:val="18"/>
          <w:szCs w:val="18"/>
          <w:lang w:val="fr-FR"/>
        </w:rPr>
        <w:t xml:space="preserve"> </w:t>
      </w:r>
      <w:r w:rsidR="008C70EE" w:rsidRPr="008C70EE">
        <w:rPr>
          <w:rFonts w:asciiTheme="minorHAnsi" w:hAnsiTheme="minorHAnsi" w:cstheme="minorHAnsi"/>
          <w:sz w:val="18"/>
          <w:szCs w:val="18"/>
          <w:lang w:val="fr-FR"/>
        </w:rPr>
        <w:t xml:space="preserve">Cannabis </w:t>
      </w:r>
      <w:proofErr w:type="spellStart"/>
      <w:r w:rsidR="008C70EE" w:rsidRPr="008C70EE">
        <w:rPr>
          <w:rFonts w:asciiTheme="minorHAnsi" w:hAnsiTheme="minorHAnsi" w:cstheme="minorHAnsi"/>
          <w:sz w:val="18"/>
          <w:szCs w:val="18"/>
          <w:lang w:val="fr-FR"/>
        </w:rPr>
        <w:t>Advisory</w:t>
      </w:r>
      <w:proofErr w:type="spellEnd"/>
      <w:r w:rsidR="008C70EE" w:rsidRPr="008C70EE">
        <w:rPr>
          <w:rFonts w:asciiTheme="minorHAnsi" w:hAnsiTheme="minorHAnsi" w:cstheme="minorHAnsi"/>
          <w:sz w:val="18"/>
          <w:szCs w:val="18"/>
          <w:lang w:val="fr-FR"/>
        </w:rPr>
        <w:t xml:space="preserve"> </w:t>
      </w:r>
      <w:proofErr w:type="spellStart"/>
      <w:r w:rsidR="008C70EE" w:rsidRPr="008C70EE">
        <w:rPr>
          <w:rFonts w:asciiTheme="minorHAnsi" w:hAnsiTheme="minorHAnsi" w:cstheme="minorHAnsi"/>
          <w:sz w:val="18"/>
          <w:szCs w:val="18"/>
          <w:lang w:val="fr-FR"/>
        </w:rPr>
        <w:t>Committee</w:t>
      </w:r>
      <w:proofErr w:type="spellEnd"/>
      <w:r w:rsidR="008C70EE" w:rsidRPr="008C70EE">
        <w:rPr>
          <w:rFonts w:asciiTheme="minorHAnsi" w:hAnsiTheme="minorHAnsi" w:cstheme="minorHAnsi"/>
          <w:sz w:val="18"/>
          <w:szCs w:val="18"/>
          <w:lang w:val="fr-FR"/>
        </w:rPr>
        <w:t xml:space="preserve"> Oct. 23, 2019 </w:t>
      </w:r>
      <w:proofErr w:type="gramStart"/>
      <w:r w:rsidR="008C70EE" w:rsidRPr="008C70EE">
        <w:rPr>
          <w:rFonts w:asciiTheme="minorHAnsi" w:hAnsiTheme="minorHAnsi" w:cstheme="minorHAnsi"/>
          <w:sz w:val="18"/>
          <w:szCs w:val="18"/>
          <w:lang w:val="fr-FR"/>
        </w:rPr>
        <w:t>meeting</w:t>
      </w:r>
      <w:proofErr w:type="gramEnd"/>
      <w:r w:rsidR="008C70EE" w:rsidRPr="008C70EE">
        <w:rPr>
          <w:rFonts w:asciiTheme="minorHAnsi" w:hAnsiTheme="minorHAnsi" w:cstheme="minorHAnsi"/>
          <w:sz w:val="18"/>
          <w:szCs w:val="18"/>
          <w:lang w:val="fr-FR"/>
        </w:rPr>
        <w:t xml:space="preserve">. </w:t>
      </w:r>
      <w:proofErr w:type="spellStart"/>
      <w:r w:rsidR="008C70EE" w:rsidRPr="008C70EE">
        <w:rPr>
          <w:rFonts w:asciiTheme="minorHAnsi" w:hAnsiTheme="minorHAnsi" w:cstheme="minorHAnsi"/>
          <w:sz w:val="18"/>
          <w:szCs w:val="18"/>
          <w:lang w:val="fr-FR"/>
        </w:rPr>
        <w:t>Referenced</w:t>
      </w:r>
      <w:proofErr w:type="spellEnd"/>
      <w:r w:rsidR="008C70EE" w:rsidRPr="008C70EE">
        <w:rPr>
          <w:rFonts w:asciiTheme="minorHAnsi" w:hAnsiTheme="minorHAnsi" w:cstheme="minorHAnsi"/>
          <w:sz w:val="18"/>
          <w:szCs w:val="18"/>
          <w:lang w:val="fr-FR"/>
        </w:rPr>
        <w:t xml:space="preserve"> at </w:t>
      </w:r>
      <w:proofErr w:type="spellStart"/>
      <w:r w:rsidR="008C70EE" w:rsidRPr="008C70EE">
        <w:rPr>
          <w:rFonts w:asciiTheme="minorHAnsi" w:hAnsiTheme="minorHAnsi" w:cstheme="minorHAnsi"/>
          <w:sz w:val="18"/>
          <w:szCs w:val="18"/>
          <w:lang w:val="fr-FR"/>
        </w:rPr>
        <w:t>California</w:t>
      </w:r>
      <w:proofErr w:type="spellEnd"/>
      <w:r w:rsidR="008C70EE" w:rsidRPr="008C70EE">
        <w:rPr>
          <w:rFonts w:asciiTheme="minorHAnsi" w:hAnsiTheme="minorHAnsi" w:cstheme="minorHAnsi"/>
          <w:sz w:val="18"/>
          <w:szCs w:val="18"/>
          <w:lang w:val="fr-FR"/>
        </w:rPr>
        <w:t xml:space="preserve"> Cannabis </w:t>
      </w:r>
      <w:proofErr w:type="spellStart"/>
      <w:r w:rsidR="008C70EE" w:rsidRPr="008C70EE">
        <w:rPr>
          <w:rFonts w:asciiTheme="minorHAnsi" w:hAnsiTheme="minorHAnsi" w:cstheme="minorHAnsi"/>
          <w:sz w:val="18"/>
          <w:szCs w:val="18"/>
          <w:lang w:val="fr-FR"/>
        </w:rPr>
        <w:t>Advisory</w:t>
      </w:r>
      <w:proofErr w:type="spellEnd"/>
      <w:r w:rsidR="008C70EE" w:rsidRPr="008C70EE">
        <w:rPr>
          <w:rFonts w:asciiTheme="minorHAnsi" w:hAnsiTheme="minorHAnsi" w:cstheme="minorHAnsi"/>
          <w:sz w:val="18"/>
          <w:szCs w:val="18"/>
          <w:lang w:val="fr-FR"/>
        </w:rPr>
        <w:t xml:space="preserve"> </w:t>
      </w:r>
      <w:proofErr w:type="spellStart"/>
      <w:r w:rsidR="008C70EE" w:rsidRPr="008C70EE">
        <w:rPr>
          <w:rFonts w:asciiTheme="minorHAnsi" w:hAnsiTheme="minorHAnsi" w:cstheme="minorHAnsi"/>
          <w:sz w:val="18"/>
          <w:szCs w:val="18"/>
          <w:lang w:val="fr-FR"/>
        </w:rPr>
        <w:t>Commmittee</w:t>
      </w:r>
      <w:proofErr w:type="spellEnd"/>
      <w:r w:rsidR="008C70EE" w:rsidRPr="008C70EE">
        <w:rPr>
          <w:rFonts w:asciiTheme="minorHAnsi" w:hAnsiTheme="minorHAnsi" w:cstheme="minorHAnsi"/>
          <w:sz w:val="18"/>
          <w:szCs w:val="18"/>
          <w:lang w:val="fr-FR"/>
        </w:rPr>
        <w:t xml:space="preserve"> </w:t>
      </w:r>
      <w:proofErr w:type="spellStart"/>
      <w:r w:rsidR="008C70EE" w:rsidRPr="008C70EE">
        <w:rPr>
          <w:rFonts w:asciiTheme="minorHAnsi" w:hAnsiTheme="minorHAnsi" w:cstheme="minorHAnsi"/>
          <w:sz w:val="18"/>
          <w:szCs w:val="18"/>
          <w:lang w:val="fr-FR"/>
        </w:rPr>
        <w:t>Annual</w:t>
      </w:r>
      <w:proofErr w:type="spellEnd"/>
      <w:r w:rsidR="008C70EE" w:rsidRPr="008C70EE">
        <w:rPr>
          <w:rFonts w:asciiTheme="minorHAnsi" w:hAnsiTheme="minorHAnsi" w:cstheme="minorHAnsi"/>
          <w:sz w:val="18"/>
          <w:szCs w:val="18"/>
          <w:lang w:val="fr-FR"/>
        </w:rPr>
        <w:t xml:space="preserve"> Report 2019. </w:t>
      </w:r>
      <w:proofErr w:type="spellStart"/>
      <w:r w:rsidR="008C70EE" w:rsidRPr="008C70EE">
        <w:rPr>
          <w:rFonts w:asciiTheme="minorHAnsi" w:hAnsiTheme="minorHAnsi" w:cstheme="minorHAnsi"/>
          <w:sz w:val="18"/>
          <w:szCs w:val="18"/>
          <w:lang w:val="fr-FR"/>
        </w:rPr>
        <w:t>Available</w:t>
      </w:r>
      <w:proofErr w:type="spellEnd"/>
      <w:r w:rsidR="008C70EE" w:rsidRPr="008C70EE">
        <w:rPr>
          <w:rFonts w:asciiTheme="minorHAnsi" w:hAnsiTheme="minorHAnsi" w:cstheme="minorHAnsi"/>
          <w:sz w:val="18"/>
          <w:szCs w:val="18"/>
          <w:lang w:val="fr-FR"/>
        </w:rPr>
        <w:t xml:space="preserve"> at : </w:t>
      </w:r>
      <w:hyperlink r:id="rId12" w:history="1">
        <w:r w:rsidR="008C70EE" w:rsidRPr="008C70EE">
          <w:rPr>
            <w:rStyle w:val="Hyperlink"/>
            <w:rFonts w:asciiTheme="minorHAnsi" w:hAnsiTheme="minorHAnsi" w:cstheme="minorHAnsi"/>
            <w:sz w:val="18"/>
            <w:szCs w:val="18"/>
          </w:rPr>
          <w:t>https://bcc.ca.gov/about_us/documents/cac_annual_report_2019.pdf</w:t>
        </w:r>
      </w:hyperlink>
    </w:p>
  </w:footnote>
  <w:footnote w:id="73">
    <w:p w14:paraId="18C65810" w14:textId="47E8810E" w:rsidR="00FB0E78" w:rsidRDefault="00FB0E78">
      <w:pPr>
        <w:pStyle w:val="FootnoteText"/>
      </w:pPr>
    </w:p>
  </w:footnote>
  <w:footnote w:id="74">
    <w:p w14:paraId="093CAA8F" w14:textId="77777777" w:rsidR="00FB0E78" w:rsidRPr="003360B5" w:rsidRDefault="00FB0E78" w:rsidP="007318F2">
      <w:pPr>
        <w:pStyle w:val="FootnoteText"/>
        <w:rPr>
          <w:sz w:val="18"/>
          <w:szCs w:val="18"/>
          <w:lang w:val="fr-FR"/>
        </w:rPr>
      </w:pPr>
      <w:r w:rsidRPr="000E3713">
        <w:rPr>
          <w:rStyle w:val="FootnoteReference"/>
          <w:sz w:val="18"/>
          <w:szCs w:val="18"/>
        </w:rPr>
        <w:footnoteRef/>
      </w:r>
      <w:r w:rsidRPr="003360B5">
        <w:rPr>
          <w:sz w:val="18"/>
          <w:szCs w:val="18"/>
          <w:lang w:val="fr-FR"/>
        </w:rPr>
        <w:t xml:space="preserve"> </w:t>
      </w:r>
      <w:proofErr w:type="spellStart"/>
      <w:r w:rsidRPr="003360B5">
        <w:rPr>
          <w:sz w:val="18"/>
          <w:szCs w:val="18"/>
          <w:lang w:val="fr-FR"/>
        </w:rPr>
        <w:t>Ellickson</w:t>
      </w:r>
      <w:proofErr w:type="spellEnd"/>
      <w:r w:rsidRPr="003360B5">
        <w:rPr>
          <w:sz w:val="18"/>
          <w:szCs w:val="18"/>
          <w:lang w:val="fr-FR"/>
        </w:rPr>
        <w:t xml:space="preserve"> et al. </w:t>
      </w:r>
      <w:proofErr w:type="spellStart"/>
      <w:r w:rsidRPr="003360B5">
        <w:rPr>
          <w:sz w:val="18"/>
          <w:szCs w:val="18"/>
          <w:lang w:val="fr-FR"/>
        </w:rPr>
        <w:t>Ibid</w:t>
      </w:r>
      <w:proofErr w:type="spellEnd"/>
    </w:p>
  </w:footnote>
  <w:footnote w:id="75">
    <w:p w14:paraId="7767F4F5" w14:textId="77777777" w:rsidR="00FB0E78" w:rsidRDefault="00FB0E78" w:rsidP="007318F2">
      <w:pPr>
        <w:pStyle w:val="FootnoteText"/>
      </w:pPr>
      <w:r w:rsidRPr="000E3713">
        <w:rPr>
          <w:rStyle w:val="FootnoteReference"/>
          <w:sz w:val="18"/>
          <w:szCs w:val="18"/>
        </w:rPr>
        <w:footnoteRef/>
      </w:r>
      <w:r w:rsidRPr="003360B5">
        <w:rPr>
          <w:sz w:val="18"/>
          <w:szCs w:val="18"/>
          <w:lang w:val="fr-FR"/>
        </w:rPr>
        <w:t xml:space="preserve"> </w:t>
      </w:r>
      <w:proofErr w:type="spellStart"/>
      <w:r w:rsidRPr="003360B5">
        <w:rPr>
          <w:sz w:val="18"/>
          <w:szCs w:val="18"/>
          <w:lang w:val="fr-FR"/>
        </w:rPr>
        <w:t>Duck</w:t>
      </w:r>
      <w:proofErr w:type="spellEnd"/>
      <w:r w:rsidRPr="003360B5">
        <w:rPr>
          <w:sz w:val="18"/>
          <w:szCs w:val="18"/>
          <w:lang w:val="fr-FR"/>
        </w:rPr>
        <w:t xml:space="preserve"> et al. </w:t>
      </w:r>
      <w:r w:rsidRPr="000E3713">
        <w:rPr>
          <w:sz w:val="18"/>
          <w:szCs w:val="18"/>
        </w:rPr>
        <w:t>Ibid</w:t>
      </w:r>
    </w:p>
  </w:footnote>
  <w:footnote w:id="76">
    <w:p w14:paraId="49FFA5A6" w14:textId="1DC1DE8B" w:rsidR="00FB0E78" w:rsidRDefault="00FB0E78">
      <w:pPr>
        <w:pStyle w:val="FootnoteText"/>
      </w:pPr>
      <w:r>
        <w:rPr>
          <w:rStyle w:val="FootnoteReference"/>
        </w:rPr>
        <w:footnoteRef/>
      </w:r>
      <w:r>
        <w:t xml:space="preserve"> </w:t>
      </w:r>
      <w:proofErr w:type="spellStart"/>
      <w:r w:rsidRPr="004855BC">
        <w:rPr>
          <w:sz w:val="18"/>
          <w:szCs w:val="18"/>
        </w:rPr>
        <w:t>Trangenstein</w:t>
      </w:r>
      <w:proofErr w:type="spellEnd"/>
      <w:r w:rsidRPr="004855BC">
        <w:rPr>
          <w:sz w:val="18"/>
          <w:szCs w:val="18"/>
        </w:rPr>
        <w:t>, P.J., Whitehill, J.M., Jenkins, M.C., Jernigan, D.H., Moreno, M.A. Active cannabis marketing and adolescent past-year cannabis use. Drug and Alcohol Dependence, 2019, 107548.</w:t>
      </w:r>
    </w:p>
  </w:footnote>
  <w:footnote w:id="77">
    <w:p w14:paraId="5706D650" w14:textId="75C888E6" w:rsidR="00FB0E78" w:rsidRPr="00B21763" w:rsidRDefault="00FB0E78">
      <w:pPr>
        <w:pStyle w:val="FootnoteText"/>
        <w:rPr>
          <w:sz w:val="18"/>
          <w:szCs w:val="18"/>
        </w:rPr>
      </w:pPr>
      <w:r w:rsidRPr="00B21763">
        <w:rPr>
          <w:rStyle w:val="FootnoteReference"/>
          <w:sz w:val="18"/>
          <w:szCs w:val="18"/>
        </w:rPr>
        <w:footnoteRef/>
      </w:r>
      <w:r w:rsidRPr="00B21763">
        <w:rPr>
          <w:sz w:val="18"/>
          <w:szCs w:val="18"/>
        </w:rPr>
        <w:t>Cal. Bus. &amp; Prof Code §26152.</w:t>
      </w:r>
    </w:p>
  </w:footnote>
  <w:footnote w:id="78">
    <w:p w14:paraId="5BBB3EA4" w14:textId="0FDB6B6B" w:rsidR="00FB0E78" w:rsidRDefault="00FB0E78">
      <w:pPr>
        <w:pStyle w:val="FootnoteText"/>
      </w:pPr>
      <w:r>
        <w:rPr>
          <w:rStyle w:val="FootnoteReference"/>
        </w:rPr>
        <w:footnoteRef/>
      </w:r>
      <w:r>
        <w:t xml:space="preserve"> </w:t>
      </w:r>
      <w:r w:rsidRPr="00B21763">
        <w:rPr>
          <w:rFonts w:cstheme="minorHAnsi"/>
          <w:sz w:val="18"/>
          <w:szCs w:val="18"/>
        </w:rPr>
        <w:t>Cal. Code Regs Tit. 16, §</w:t>
      </w:r>
      <w:r>
        <w:t xml:space="preserve">§5040. </w:t>
      </w:r>
    </w:p>
  </w:footnote>
  <w:footnote w:id="79">
    <w:p w14:paraId="1F5C0727" w14:textId="00A40F20" w:rsidR="00FB0E78" w:rsidRPr="005E7DD1" w:rsidRDefault="00FB0E78" w:rsidP="00747A79">
      <w:pPr>
        <w:pStyle w:val="Bibliography"/>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Padon AA, </w:t>
      </w:r>
      <w:proofErr w:type="spellStart"/>
      <w:r w:rsidRPr="005E7DD1">
        <w:rPr>
          <w:rFonts w:cstheme="minorHAnsi"/>
          <w:sz w:val="18"/>
          <w:szCs w:val="18"/>
        </w:rPr>
        <w:t>Rimal</w:t>
      </w:r>
      <w:proofErr w:type="spellEnd"/>
      <w:r w:rsidRPr="005E7DD1">
        <w:rPr>
          <w:rFonts w:cstheme="minorHAnsi"/>
          <w:sz w:val="18"/>
          <w:szCs w:val="18"/>
        </w:rPr>
        <w:t xml:space="preserve"> RN, DeJong W, Siegel M, Jernigan D. Assessing Youth-Appealing Content in Alcohol Advertisements: Application of a Content Appealing to Youth (CAY) Index. </w:t>
      </w:r>
      <w:r w:rsidRPr="005E7DD1">
        <w:rPr>
          <w:rFonts w:cstheme="minorHAnsi"/>
          <w:i/>
          <w:iCs/>
          <w:sz w:val="18"/>
          <w:szCs w:val="18"/>
        </w:rPr>
        <w:t xml:space="preserve">Health </w:t>
      </w:r>
      <w:proofErr w:type="spellStart"/>
      <w:r w:rsidRPr="005E7DD1">
        <w:rPr>
          <w:rFonts w:cstheme="minorHAnsi"/>
          <w:i/>
          <w:iCs/>
          <w:sz w:val="18"/>
          <w:szCs w:val="18"/>
        </w:rPr>
        <w:t>Commun</w:t>
      </w:r>
      <w:proofErr w:type="spellEnd"/>
      <w:r w:rsidRPr="005E7DD1">
        <w:rPr>
          <w:rFonts w:cstheme="minorHAnsi"/>
          <w:sz w:val="18"/>
          <w:szCs w:val="18"/>
        </w:rPr>
        <w:t>. 2016;0(0):1-10. doi:10.1080/10410236.2016.1250331.</w:t>
      </w:r>
    </w:p>
  </w:footnote>
  <w:footnote w:id="80">
    <w:p w14:paraId="7C38C11E" w14:textId="79BB2951" w:rsidR="00FB0E78" w:rsidRPr="005E7DD1" w:rsidRDefault="00FB0E78">
      <w:pPr>
        <w:pStyle w:val="FootnoteText"/>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w:t>
      </w:r>
      <w:proofErr w:type="spellStart"/>
      <w:r w:rsidRPr="005E7DD1">
        <w:rPr>
          <w:rFonts w:cstheme="minorHAnsi"/>
          <w:sz w:val="18"/>
          <w:szCs w:val="18"/>
        </w:rPr>
        <w:t>Niederdeppe</w:t>
      </w:r>
      <w:proofErr w:type="spellEnd"/>
      <w:r w:rsidRPr="005E7DD1">
        <w:rPr>
          <w:rFonts w:cstheme="minorHAnsi"/>
          <w:sz w:val="18"/>
          <w:szCs w:val="18"/>
        </w:rPr>
        <w:t xml:space="preserve"> J, Davis KC, </w:t>
      </w:r>
      <w:proofErr w:type="spellStart"/>
      <w:r w:rsidRPr="005E7DD1">
        <w:rPr>
          <w:rFonts w:cstheme="minorHAnsi"/>
          <w:sz w:val="18"/>
          <w:szCs w:val="18"/>
        </w:rPr>
        <w:t>Farrelly</w:t>
      </w:r>
      <w:proofErr w:type="spellEnd"/>
      <w:r w:rsidRPr="005E7DD1">
        <w:rPr>
          <w:rFonts w:cstheme="minorHAnsi"/>
          <w:sz w:val="18"/>
          <w:szCs w:val="18"/>
        </w:rPr>
        <w:t xml:space="preserve"> MC, </w:t>
      </w:r>
      <w:proofErr w:type="spellStart"/>
      <w:r w:rsidRPr="005E7DD1">
        <w:rPr>
          <w:rFonts w:cstheme="minorHAnsi"/>
          <w:sz w:val="18"/>
          <w:szCs w:val="18"/>
        </w:rPr>
        <w:t>Yarsevich</w:t>
      </w:r>
      <w:proofErr w:type="spellEnd"/>
      <w:r w:rsidRPr="005E7DD1">
        <w:rPr>
          <w:rFonts w:cstheme="minorHAnsi"/>
          <w:sz w:val="18"/>
          <w:szCs w:val="18"/>
        </w:rPr>
        <w:t xml:space="preserve"> J. Stylistic Features, Need for Sensation, and Confirmed Recall of National Smoking Prevention Advertisements. </w:t>
      </w:r>
      <w:r w:rsidRPr="005E7DD1">
        <w:rPr>
          <w:rFonts w:cstheme="minorHAnsi"/>
          <w:i/>
          <w:iCs/>
          <w:sz w:val="18"/>
          <w:szCs w:val="18"/>
        </w:rPr>
        <w:t xml:space="preserve">J </w:t>
      </w:r>
      <w:proofErr w:type="spellStart"/>
      <w:r w:rsidRPr="005E7DD1">
        <w:rPr>
          <w:rFonts w:cstheme="minorHAnsi"/>
          <w:i/>
          <w:iCs/>
          <w:sz w:val="18"/>
          <w:szCs w:val="18"/>
        </w:rPr>
        <w:t>Commun</w:t>
      </w:r>
      <w:proofErr w:type="spellEnd"/>
      <w:r w:rsidRPr="005E7DD1">
        <w:rPr>
          <w:rFonts w:cstheme="minorHAnsi"/>
          <w:sz w:val="18"/>
          <w:szCs w:val="18"/>
        </w:rPr>
        <w:t>. 2007;57(2):272-292. doi:10.1111/j.1460-2466.2007.00343.x;</w:t>
      </w:r>
    </w:p>
  </w:footnote>
  <w:footnote w:id="81">
    <w:p w14:paraId="17D30861" w14:textId="1FEAEFF1" w:rsidR="00FB0E78" w:rsidRPr="005E7DD1" w:rsidRDefault="00FB0E78">
      <w:pPr>
        <w:pStyle w:val="FootnoteText"/>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Lewis MK, Hill AJ. Food advertising on British children’s television: a content analysis and experimental study with nine-year </w:t>
      </w:r>
      <w:proofErr w:type="spellStart"/>
      <w:r w:rsidRPr="005E7DD1">
        <w:rPr>
          <w:rFonts w:cstheme="minorHAnsi"/>
          <w:sz w:val="18"/>
          <w:szCs w:val="18"/>
        </w:rPr>
        <w:t>olds</w:t>
      </w:r>
      <w:proofErr w:type="spellEnd"/>
      <w:r w:rsidRPr="005E7DD1">
        <w:rPr>
          <w:rFonts w:cstheme="minorHAnsi"/>
          <w:sz w:val="18"/>
          <w:szCs w:val="18"/>
        </w:rPr>
        <w:t xml:space="preserve">. </w:t>
      </w:r>
      <w:r w:rsidRPr="005E7DD1">
        <w:rPr>
          <w:rFonts w:cstheme="minorHAnsi"/>
          <w:i/>
          <w:iCs/>
          <w:sz w:val="18"/>
          <w:szCs w:val="18"/>
        </w:rPr>
        <w:t xml:space="preserve">Int J </w:t>
      </w:r>
      <w:proofErr w:type="spellStart"/>
      <w:r w:rsidRPr="005E7DD1">
        <w:rPr>
          <w:rFonts w:cstheme="minorHAnsi"/>
          <w:i/>
          <w:iCs/>
          <w:sz w:val="18"/>
          <w:szCs w:val="18"/>
        </w:rPr>
        <w:t>Obes</w:t>
      </w:r>
      <w:proofErr w:type="spellEnd"/>
      <w:r w:rsidRPr="005E7DD1">
        <w:rPr>
          <w:rFonts w:cstheme="minorHAnsi"/>
          <w:i/>
          <w:iCs/>
          <w:sz w:val="18"/>
          <w:szCs w:val="18"/>
        </w:rPr>
        <w:t xml:space="preserve"> </w:t>
      </w:r>
      <w:proofErr w:type="spellStart"/>
      <w:r w:rsidRPr="005E7DD1">
        <w:rPr>
          <w:rFonts w:cstheme="minorHAnsi"/>
          <w:i/>
          <w:iCs/>
          <w:sz w:val="18"/>
          <w:szCs w:val="18"/>
        </w:rPr>
        <w:t>Relat</w:t>
      </w:r>
      <w:proofErr w:type="spellEnd"/>
      <w:r w:rsidRPr="005E7DD1">
        <w:rPr>
          <w:rFonts w:cstheme="minorHAnsi"/>
          <w:i/>
          <w:iCs/>
          <w:sz w:val="18"/>
          <w:szCs w:val="18"/>
        </w:rPr>
        <w:t xml:space="preserve"> </w:t>
      </w:r>
      <w:proofErr w:type="spellStart"/>
      <w:r w:rsidRPr="005E7DD1">
        <w:rPr>
          <w:rFonts w:cstheme="minorHAnsi"/>
          <w:i/>
          <w:iCs/>
          <w:sz w:val="18"/>
          <w:szCs w:val="18"/>
        </w:rPr>
        <w:t>Metab</w:t>
      </w:r>
      <w:proofErr w:type="spellEnd"/>
      <w:r w:rsidRPr="005E7DD1">
        <w:rPr>
          <w:rFonts w:cstheme="minorHAnsi"/>
          <w:i/>
          <w:iCs/>
          <w:sz w:val="18"/>
          <w:szCs w:val="18"/>
        </w:rPr>
        <w:t xml:space="preserve"> </w:t>
      </w:r>
      <w:proofErr w:type="spellStart"/>
      <w:r w:rsidRPr="005E7DD1">
        <w:rPr>
          <w:rFonts w:cstheme="minorHAnsi"/>
          <w:i/>
          <w:iCs/>
          <w:sz w:val="18"/>
          <w:szCs w:val="18"/>
        </w:rPr>
        <w:t>Disord</w:t>
      </w:r>
      <w:proofErr w:type="spellEnd"/>
      <w:r w:rsidRPr="005E7DD1">
        <w:rPr>
          <w:rFonts w:cstheme="minorHAnsi"/>
          <w:i/>
          <w:iCs/>
          <w:sz w:val="18"/>
          <w:szCs w:val="18"/>
        </w:rPr>
        <w:t xml:space="preserve"> J Int Assoc Study </w:t>
      </w:r>
      <w:proofErr w:type="spellStart"/>
      <w:r w:rsidRPr="005E7DD1">
        <w:rPr>
          <w:rFonts w:cstheme="minorHAnsi"/>
          <w:i/>
          <w:iCs/>
          <w:sz w:val="18"/>
          <w:szCs w:val="18"/>
        </w:rPr>
        <w:t>Obes</w:t>
      </w:r>
      <w:proofErr w:type="spellEnd"/>
      <w:r w:rsidRPr="005E7DD1">
        <w:rPr>
          <w:rFonts w:cstheme="minorHAnsi"/>
          <w:sz w:val="18"/>
          <w:szCs w:val="18"/>
        </w:rPr>
        <w:t>. 1998;22(3):206-214.</w:t>
      </w:r>
    </w:p>
  </w:footnote>
  <w:footnote w:id="82">
    <w:p w14:paraId="793C655B" w14:textId="45082AEF" w:rsidR="00FB0E78" w:rsidRPr="005E7DD1" w:rsidRDefault="00FB0E78">
      <w:pPr>
        <w:pStyle w:val="FootnoteText"/>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Waiters ED, </w:t>
      </w:r>
      <w:proofErr w:type="spellStart"/>
      <w:r w:rsidRPr="005E7DD1">
        <w:rPr>
          <w:rFonts w:cstheme="minorHAnsi"/>
          <w:sz w:val="18"/>
          <w:szCs w:val="18"/>
        </w:rPr>
        <w:t>Treno</w:t>
      </w:r>
      <w:proofErr w:type="spellEnd"/>
      <w:r w:rsidRPr="005E7DD1">
        <w:rPr>
          <w:rFonts w:cstheme="minorHAnsi"/>
          <w:sz w:val="18"/>
          <w:szCs w:val="18"/>
        </w:rPr>
        <w:t xml:space="preserve"> AJ, Grube JW. Alcohol Advertising and Youth: A Focus-Group Analysis of What Young People Find Appealing in Alcohol Advertising. </w:t>
      </w:r>
      <w:proofErr w:type="spellStart"/>
      <w:r w:rsidRPr="005E7DD1">
        <w:rPr>
          <w:rFonts w:cstheme="minorHAnsi"/>
          <w:i/>
          <w:iCs/>
          <w:sz w:val="18"/>
          <w:szCs w:val="18"/>
        </w:rPr>
        <w:t>Contemp</w:t>
      </w:r>
      <w:proofErr w:type="spellEnd"/>
      <w:r w:rsidRPr="005E7DD1">
        <w:rPr>
          <w:rFonts w:cstheme="minorHAnsi"/>
          <w:i/>
          <w:iCs/>
          <w:sz w:val="18"/>
          <w:szCs w:val="18"/>
        </w:rPr>
        <w:t xml:space="preserve"> Drug </w:t>
      </w:r>
      <w:proofErr w:type="spellStart"/>
      <w:r w:rsidRPr="005E7DD1">
        <w:rPr>
          <w:rFonts w:cstheme="minorHAnsi"/>
          <w:i/>
          <w:iCs/>
          <w:sz w:val="18"/>
          <w:szCs w:val="18"/>
        </w:rPr>
        <w:t>Probl</w:t>
      </w:r>
      <w:proofErr w:type="spellEnd"/>
      <w:r w:rsidRPr="005E7DD1">
        <w:rPr>
          <w:rFonts w:cstheme="minorHAnsi"/>
          <w:sz w:val="18"/>
          <w:szCs w:val="18"/>
        </w:rPr>
        <w:t>. 2001;28(4):695.;</w:t>
      </w:r>
    </w:p>
  </w:footnote>
  <w:footnote w:id="83">
    <w:p w14:paraId="5FC9BB11" w14:textId="6908330C" w:rsidR="00FB0E78" w:rsidRPr="005E7DD1" w:rsidRDefault="00FB0E78">
      <w:pPr>
        <w:pStyle w:val="FootnoteText"/>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Chen M-J, Grube JW, </w:t>
      </w:r>
      <w:proofErr w:type="spellStart"/>
      <w:r w:rsidRPr="005E7DD1">
        <w:rPr>
          <w:rFonts w:cstheme="minorHAnsi"/>
          <w:sz w:val="18"/>
          <w:szCs w:val="18"/>
        </w:rPr>
        <w:t>Bersamin</w:t>
      </w:r>
      <w:proofErr w:type="spellEnd"/>
      <w:r w:rsidRPr="005E7DD1">
        <w:rPr>
          <w:rFonts w:cstheme="minorHAnsi"/>
          <w:sz w:val="18"/>
          <w:szCs w:val="18"/>
        </w:rPr>
        <w:t xml:space="preserve"> M, Waiters E, Keefe DB. Alcohol advertising: what makes it attractive to youth? </w:t>
      </w:r>
      <w:r w:rsidRPr="005E7DD1">
        <w:rPr>
          <w:rFonts w:cstheme="minorHAnsi"/>
          <w:i/>
          <w:iCs/>
          <w:sz w:val="18"/>
          <w:szCs w:val="18"/>
        </w:rPr>
        <w:t xml:space="preserve">J Health </w:t>
      </w:r>
      <w:proofErr w:type="spellStart"/>
      <w:r w:rsidRPr="005E7DD1">
        <w:rPr>
          <w:rFonts w:cstheme="minorHAnsi"/>
          <w:i/>
          <w:iCs/>
          <w:sz w:val="18"/>
          <w:szCs w:val="18"/>
        </w:rPr>
        <w:t>Commun</w:t>
      </w:r>
      <w:proofErr w:type="spellEnd"/>
      <w:r w:rsidRPr="005E7DD1">
        <w:rPr>
          <w:rFonts w:cstheme="minorHAnsi"/>
          <w:sz w:val="18"/>
          <w:szCs w:val="18"/>
        </w:rPr>
        <w:t>. 2005;10(6):553-565. doi:10.1080/10810730500228904.</w:t>
      </w:r>
    </w:p>
  </w:footnote>
  <w:footnote w:id="84">
    <w:p w14:paraId="1E5D086A" w14:textId="37734E26" w:rsidR="00FB0E78" w:rsidRPr="009D3804" w:rsidRDefault="00FB0E78">
      <w:pPr>
        <w:pStyle w:val="FootnoteText"/>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Smith LA, Foxcroft DR. The effect of alcohol advertising, marketing and portrayal on drinking </w:t>
      </w:r>
      <w:proofErr w:type="spellStart"/>
      <w:r w:rsidRPr="005E7DD1">
        <w:rPr>
          <w:rFonts w:cstheme="minorHAnsi"/>
          <w:sz w:val="18"/>
          <w:szCs w:val="18"/>
        </w:rPr>
        <w:t>behaviour</w:t>
      </w:r>
      <w:proofErr w:type="spellEnd"/>
      <w:r w:rsidRPr="005E7DD1">
        <w:rPr>
          <w:rFonts w:cstheme="minorHAnsi"/>
          <w:sz w:val="18"/>
          <w:szCs w:val="18"/>
        </w:rPr>
        <w:t xml:space="preserve"> in young people: </w:t>
      </w:r>
      <w:r w:rsidRPr="009D3804">
        <w:rPr>
          <w:rFonts w:cstheme="minorHAnsi"/>
          <w:sz w:val="18"/>
          <w:szCs w:val="18"/>
        </w:rPr>
        <w:t xml:space="preserve">systematic review of prospective cohort studies. </w:t>
      </w:r>
      <w:r w:rsidRPr="009D3804">
        <w:rPr>
          <w:rFonts w:cstheme="minorHAnsi"/>
          <w:i/>
          <w:iCs/>
          <w:sz w:val="18"/>
          <w:szCs w:val="18"/>
        </w:rPr>
        <w:t>BMC Public Health</w:t>
      </w:r>
      <w:r w:rsidRPr="009D3804">
        <w:rPr>
          <w:rFonts w:cstheme="minorHAnsi"/>
          <w:sz w:val="18"/>
          <w:szCs w:val="18"/>
        </w:rPr>
        <w:t>. 2009;9(1):51. doi:10.1186/1471-2458-9-51.</w:t>
      </w:r>
    </w:p>
  </w:footnote>
  <w:footnote w:id="85">
    <w:p w14:paraId="62909DEF" w14:textId="3DABD565" w:rsidR="00FB0E78" w:rsidRDefault="00FB0E78" w:rsidP="00EA7BF8">
      <w:r w:rsidRPr="009D3804">
        <w:rPr>
          <w:rStyle w:val="FootnoteReference"/>
          <w:rFonts w:asciiTheme="minorHAnsi" w:hAnsiTheme="minorHAnsi" w:cstheme="minorHAnsi"/>
          <w:sz w:val="18"/>
          <w:szCs w:val="18"/>
        </w:rPr>
        <w:footnoteRef/>
      </w:r>
      <w:r w:rsidRPr="009D3804">
        <w:rPr>
          <w:rFonts w:asciiTheme="minorHAnsi" w:hAnsiTheme="minorHAnsi" w:cstheme="minorHAnsi"/>
          <w:sz w:val="18"/>
          <w:szCs w:val="18"/>
        </w:rPr>
        <w:t xml:space="preserve"> </w:t>
      </w:r>
      <w:r w:rsidRPr="009D3804">
        <w:rPr>
          <w:rFonts w:asciiTheme="minorHAnsi" w:hAnsiTheme="minorHAnsi" w:cstheme="minorHAnsi"/>
          <w:color w:val="000000"/>
          <w:sz w:val="18"/>
          <w:szCs w:val="18"/>
          <w:shd w:val="clear" w:color="auto" w:fill="FAF8F6"/>
        </w:rPr>
        <w:t>National Research Council and Institute of Medicine (2004). </w:t>
      </w:r>
      <w:r w:rsidRPr="009D3804">
        <w:rPr>
          <w:rStyle w:val="Emphasis"/>
          <w:rFonts w:asciiTheme="minorHAnsi" w:hAnsiTheme="minorHAnsi" w:cstheme="minorHAnsi"/>
          <w:color w:val="000000"/>
          <w:sz w:val="18"/>
          <w:szCs w:val="18"/>
          <w:shd w:val="clear" w:color="auto" w:fill="FAF8F6"/>
        </w:rPr>
        <w:t>Reducing Underage Drinking: A Collective Responsibility</w:t>
      </w:r>
      <w:r w:rsidRPr="009D3804">
        <w:rPr>
          <w:rFonts w:asciiTheme="minorHAnsi" w:hAnsiTheme="minorHAnsi" w:cstheme="minorHAnsi"/>
          <w:color w:val="000000"/>
          <w:sz w:val="18"/>
          <w:szCs w:val="18"/>
          <w:shd w:val="clear" w:color="auto" w:fill="FAF8F6"/>
        </w:rPr>
        <w:t>. Committee on Developing a Strategy to Reduce and Prevent Underage Drinking, Richard J. Bonnie and Mary Ellen O’Connell, Editors. Board on Children, Youth, and Families, Division of Behavioral and Social Sciences and Education. Washington, DC: The National Academies Press.</w:t>
      </w:r>
    </w:p>
  </w:footnote>
  <w:footnote w:id="86">
    <w:p w14:paraId="6C20C73B" w14:textId="79BF1EAC" w:rsidR="00FB0E78" w:rsidRPr="005E7DD1" w:rsidRDefault="00FB0E78" w:rsidP="00C21A9A">
      <w:pPr>
        <w:rPr>
          <w:rFonts w:asciiTheme="minorHAnsi" w:hAnsiTheme="minorHAnsi" w:cstheme="minorHAnsi"/>
          <w:sz w:val="18"/>
          <w:szCs w:val="18"/>
        </w:rPr>
      </w:pPr>
      <w:r w:rsidRPr="005E7DD1">
        <w:rPr>
          <w:rStyle w:val="FootnoteReference"/>
          <w:rFonts w:asciiTheme="minorHAnsi" w:hAnsiTheme="minorHAnsi" w:cstheme="minorHAnsi"/>
          <w:sz w:val="18"/>
          <w:szCs w:val="18"/>
        </w:rPr>
        <w:footnoteRef/>
      </w:r>
      <w:r w:rsidRPr="005E7DD1">
        <w:rPr>
          <w:rFonts w:asciiTheme="minorHAnsi" w:hAnsiTheme="minorHAnsi" w:cstheme="minorHAnsi"/>
          <w:sz w:val="18"/>
          <w:szCs w:val="18"/>
        </w:rPr>
        <w:t xml:space="preserve"> Tobacco Free California. What you need to know about secondhand smoke, vape, and marijuana. </w:t>
      </w:r>
      <w:hyperlink r:id="rId13" w:history="1">
        <w:r w:rsidRPr="005E7DD1">
          <w:rPr>
            <w:rStyle w:val="Hyperlink"/>
            <w:rFonts w:asciiTheme="minorHAnsi" w:hAnsiTheme="minorHAnsi" w:cstheme="minorHAnsi"/>
            <w:sz w:val="18"/>
            <w:szCs w:val="18"/>
          </w:rPr>
          <w:t>https://tobaccofreeca.com/issues/secondhand-smoke/what-you-need-to-know-about-all-secondhand-smoke-and-vape/</w:t>
        </w:r>
      </w:hyperlink>
      <w:r w:rsidRPr="005E7DD1">
        <w:rPr>
          <w:rFonts w:asciiTheme="minorHAnsi" w:hAnsiTheme="minorHAnsi" w:cstheme="minorHAnsi"/>
          <w:sz w:val="18"/>
          <w:szCs w:val="18"/>
        </w:rPr>
        <w:t xml:space="preserve">. Last accessed December 18, 2019. </w:t>
      </w:r>
    </w:p>
  </w:footnote>
  <w:footnote w:id="87">
    <w:p w14:paraId="2DCA30F0" w14:textId="13229DD7" w:rsidR="00FB0E78" w:rsidRPr="005E7DD1" w:rsidRDefault="00FB0E78" w:rsidP="000F7E14">
      <w:pPr>
        <w:rPr>
          <w:rFonts w:asciiTheme="minorHAnsi" w:hAnsiTheme="minorHAnsi" w:cstheme="minorHAnsi"/>
          <w:sz w:val="18"/>
          <w:szCs w:val="18"/>
        </w:rPr>
      </w:pPr>
      <w:r w:rsidRPr="005E7DD1">
        <w:rPr>
          <w:rStyle w:val="FootnoteReference"/>
          <w:rFonts w:asciiTheme="minorHAnsi" w:hAnsiTheme="minorHAnsi" w:cstheme="minorHAnsi"/>
          <w:sz w:val="18"/>
          <w:szCs w:val="18"/>
        </w:rPr>
        <w:footnoteRef/>
      </w:r>
      <w:r w:rsidRPr="005E7DD1">
        <w:rPr>
          <w:rFonts w:asciiTheme="minorHAnsi" w:hAnsiTheme="minorHAnsi" w:cstheme="minorHAnsi"/>
          <w:sz w:val="18"/>
          <w:szCs w:val="18"/>
        </w:rPr>
        <w:t xml:space="preserve"> Centers for Disease Control and Prevention. Health Effects of Secondhand Smoke. Jan 17, 2018. </w:t>
      </w:r>
      <w:hyperlink r:id="rId14" w:history="1">
        <w:r w:rsidRPr="005E7DD1">
          <w:rPr>
            <w:rStyle w:val="Hyperlink"/>
            <w:rFonts w:asciiTheme="minorHAnsi" w:hAnsiTheme="minorHAnsi" w:cstheme="minorHAnsi"/>
            <w:sz w:val="18"/>
            <w:szCs w:val="18"/>
          </w:rPr>
          <w:t>https://www.cdc.gov/tobacco/data_statistics/fact_sheets/secondhand_smoke/health_effects/index.htm</w:t>
        </w:r>
      </w:hyperlink>
      <w:r w:rsidRPr="005E7DD1">
        <w:rPr>
          <w:rFonts w:asciiTheme="minorHAnsi" w:hAnsiTheme="minorHAnsi" w:cstheme="minorHAnsi"/>
          <w:sz w:val="18"/>
          <w:szCs w:val="18"/>
        </w:rPr>
        <w:t xml:space="preserve">. Last accessed Dec. 18, 2019. </w:t>
      </w:r>
    </w:p>
  </w:footnote>
  <w:footnote w:id="88">
    <w:p w14:paraId="254994D1" w14:textId="4D452F6E" w:rsidR="00FB0E78" w:rsidRPr="005E7DD1" w:rsidRDefault="00FB0E78" w:rsidP="00C21A9A">
      <w:pPr>
        <w:rPr>
          <w:rFonts w:asciiTheme="minorHAnsi" w:hAnsiTheme="minorHAnsi" w:cstheme="minorHAnsi"/>
          <w:sz w:val="18"/>
          <w:szCs w:val="18"/>
        </w:rPr>
      </w:pPr>
      <w:r w:rsidRPr="005E7DD1">
        <w:rPr>
          <w:rStyle w:val="FootnoteReference"/>
          <w:rFonts w:asciiTheme="minorHAnsi" w:hAnsiTheme="minorHAnsi" w:cstheme="minorHAnsi"/>
          <w:sz w:val="18"/>
          <w:szCs w:val="18"/>
        </w:rPr>
        <w:footnoteRef/>
      </w:r>
      <w:r w:rsidRPr="005E7DD1">
        <w:rPr>
          <w:rFonts w:asciiTheme="minorHAnsi" w:hAnsiTheme="minorHAnsi" w:cstheme="minorHAnsi"/>
          <w:sz w:val="18"/>
          <w:szCs w:val="18"/>
        </w:rPr>
        <w:t xml:space="preserve"> Centers for Disease Control and Prevention. </w:t>
      </w:r>
      <w:proofErr w:type="spellStart"/>
      <w:r w:rsidRPr="005E7DD1">
        <w:rPr>
          <w:rFonts w:asciiTheme="minorHAnsi" w:hAnsiTheme="minorHAnsi" w:cstheme="minorHAnsi"/>
          <w:sz w:val="18"/>
          <w:szCs w:val="18"/>
        </w:rPr>
        <w:t>Smokefree</w:t>
      </w:r>
      <w:proofErr w:type="spellEnd"/>
      <w:r w:rsidRPr="005E7DD1">
        <w:rPr>
          <w:rFonts w:asciiTheme="minorHAnsi" w:hAnsiTheme="minorHAnsi" w:cstheme="minorHAnsi"/>
          <w:sz w:val="18"/>
          <w:szCs w:val="18"/>
        </w:rPr>
        <w:t xml:space="preserve"> Air Policies Improve Air Quality in Hospitality Settings. Health Effects of Secondhand Smoke. Jan 17, 2018. </w:t>
      </w:r>
      <w:hyperlink r:id="rId15" w:history="1">
        <w:r w:rsidRPr="005E7DD1">
          <w:rPr>
            <w:rStyle w:val="Hyperlink"/>
            <w:rFonts w:asciiTheme="minorHAnsi" w:hAnsiTheme="minorHAnsi" w:cstheme="minorHAnsi"/>
            <w:sz w:val="18"/>
            <w:szCs w:val="18"/>
          </w:rPr>
          <w:t>https://www.cdc.gov/tobacco/data_statistics/fact_sheets/secondhand_smoke/protection/air_quality/index.htm</w:t>
        </w:r>
      </w:hyperlink>
    </w:p>
  </w:footnote>
  <w:footnote w:id="89">
    <w:p w14:paraId="4C83170F" w14:textId="0B41F26E" w:rsidR="00FB0E78" w:rsidRPr="005E7DD1" w:rsidRDefault="00FB0E78">
      <w:pPr>
        <w:pStyle w:val="FootnoteText"/>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w:t>
      </w:r>
      <w:r w:rsidRPr="00B21763">
        <w:rPr>
          <w:rFonts w:cstheme="minorHAnsi"/>
          <w:sz w:val="18"/>
          <w:szCs w:val="18"/>
        </w:rPr>
        <w:t>Cal. Code Regs Tit. 16, §</w:t>
      </w:r>
      <w:r w:rsidRPr="005E7DD1">
        <w:rPr>
          <w:rFonts w:cstheme="minorHAnsi"/>
          <w:sz w:val="18"/>
          <w:szCs w:val="18"/>
        </w:rPr>
        <w:t xml:space="preserve"> §5601. </w:t>
      </w:r>
    </w:p>
  </w:footnote>
  <w:footnote w:id="90">
    <w:p w14:paraId="115C8084" w14:textId="61EB8268" w:rsidR="00FB0E78" w:rsidRPr="00B548CD" w:rsidRDefault="00FB0E78" w:rsidP="00DA2171">
      <w:pPr>
        <w:rPr>
          <w:rFonts w:asciiTheme="minorHAnsi" w:hAnsiTheme="minorHAnsi" w:cstheme="minorHAnsi"/>
          <w:sz w:val="18"/>
          <w:szCs w:val="18"/>
        </w:rPr>
      </w:pPr>
      <w:r w:rsidRPr="00B548CD">
        <w:rPr>
          <w:rStyle w:val="FootnoteReference"/>
          <w:rFonts w:asciiTheme="minorHAnsi" w:hAnsiTheme="minorHAnsi" w:cstheme="minorHAnsi"/>
          <w:sz w:val="18"/>
          <w:szCs w:val="18"/>
        </w:rPr>
        <w:footnoteRef/>
      </w:r>
      <w:r w:rsidRPr="00B548CD">
        <w:rPr>
          <w:rFonts w:asciiTheme="minorHAnsi" w:hAnsiTheme="minorHAnsi" w:cstheme="minorHAnsi"/>
          <w:sz w:val="18"/>
          <w:szCs w:val="18"/>
        </w:rPr>
        <w:t xml:space="preserve"> </w:t>
      </w:r>
      <w:proofErr w:type="spellStart"/>
      <w:r w:rsidRPr="00B548CD">
        <w:rPr>
          <w:rFonts w:asciiTheme="minorHAnsi" w:hAnsiTheme="minorHAnsi" w:cstheme="minorHAnsi"/>
          <w:sz w:val="18"/>
          <w:szCs w:val="18"/>
          <w:shd w:val="clear" w:color="auto" w:fill="FFFFFF"/>
        </w:rPr>
        <w:t>Rigotti</w:t>
      </w:r>
      <w:proofErr w:type="spellEnd"/>
      <w:r w:rsidRPr="00B548CD">
        <w:rPr>
          <w:rFonts w:asciiTheme="minorHAnsi" w:hAnsiTheme="minorHAnsi" w:cstheme="minorHAnsi"/>
          <w:sz w:val="18"/>
          <w:szCs w:val="18"/>
          <w:shd w:val="clear" w:color="auto" w:fill="FFFFFF"/>
        </w:rPr>
        <w:t>, N. A., Moran, S. E., &amp; Wechsler, H. (2005). US college students' exposure to tobacco promotions: prevalence and association with tobacco use. </w:t>
      </w:r>
      <w:r w:rsidRPr="00B548CD">
        <w:rPr>
          <w:rFonts w:asciiTheme="minorHAnsi" w:hAnsiTheme="minorHAnsi" w:cstheme="minorHAnsi"/>
          <w:i/>
          <w:iCs/>
          <w:sz w:val="18"/>
          <w:szCs w:val="18"/>
          <w:shd w:val="clear" w:color="auto" w:fill="FFFFFF"/>
        </w:rPr>
        <w:t>American journal of public health</w:t>
      </w:r>
      <w:r w:rsidRPr="00B548CD">
        <w:rPr>
          <w:rFonts w:asciiTheme="minorHAnsi" w:hAnsiTheme="minorHAnsi" w:cstheme="minorHAnsi"/>
          <w:sz w:val="18"/>
          <w:szCs w:val="18"/>
          <w:shd w:val="clear" w:color="auto" w:fill="FFFFFF"/>
        </w:rPr>
        <w:t>, </w:t>
      </w:r>
      <w:r w:rsidRPr="00B548CD">
        <w:rPr>
          <w:rFonts w:asciiTheme="minorHAnsi" w:hAnsiTheme="minorHAnsi" w:cstheme="minorHAnsi"/>
          <w:i/>
          <w:iCs/>
          <w:sz w:val="18"/>
          <w:szCs w:val="18"/>
          <w:shd w:val="clear" w:color="auto" w:fill="FFFFFF"/>
        </w:rPr>
        <w:t>95</w:t>
      </w:r>
      <w:r w:rsidRPr="00B548CD">
        <w:rPr>
          <w:rFonts w:asciiTheme="minorHAnsi" w:hAnsiTheme="minorHAnsi" w:cstheme="minorHAnsi"/>
          <w:sz w:val="18"/>
          <w:szCs w:val="18"/>
          <w:shd w:val="clear" w:color="auto" w:fill="FFFFFF"/>
        </w:rPr>
        <w:t>(1), 138–144. doi:10.2105/AJPH.2003.026054</w:t>
      </w:r>
    </w:p>
  </w:footnote>
  <w:footnote w:id="91">
    <w:p w14:paraId="3B6C9B9D" w14:textId="521CEC68" w:rsidR="00FB0E78" w:rsidRPr="009D3804" w:rsidRDefault="00FB0E78">
      <w:pPr>
        <w:pStyle w:val="FootnoteText"/>
        <w:rPr>
          <w:rFonts w:cstheme="minorHAnsi"/>
          <w:sz w:val="18"/>
          <w:szCs w:val="18"/>
        </w:rPr>
      </w:pPr>
      <w:r w:rsidRPr="009D3804">
        <w:rPr>
          <w:rStyle w:val="FootnoteReference"/>
          <w:rFonts w:cstheme="minorHAnsi"/>
          <w:sz w:val="18"/>
          <w:szCs w:val="18"/>
        </w:rPr>
        <w:footnoteRef/>
      </w:r>
      <w:r w:rsidRPr="009D3804">
        <w:rPr>
          <w:rFonts w:cstheme="minorHAnsi"/>
          <w:sz w:val="18"/>
          <w:szCs w:val="18"/>
        </w:rPr>
        <w:t xml:space="preserve"> </w:t>
      </w:r>
      <w:r>
        <w:rPr>
          <w:rFonts w:cstheme="minorHAnsi"/>
          <w:sz w:val="18"/>
          <w:szCs w:val="18"/>
        </w:rPr>
        <w:t xml:space="preserve">Cal. Bus &amp; Prof Code </w:t>
      </w:r>
      <w:r w:rsidRPr="009D3804">
        <w:rPr>
          <w:rFonts w:cstheme="minorHAnsi"/>
          <w:sz w:val="18"/>
          <w:szCs w:val="18"/>
        </w:rPr>
        <w:t xml:space="preserve">§26200(g). </w:t>
      </w:r>
    </w:p>
  </w:footnote>
  <w:footnote w:id="92">
    <w:p w14:paraId="5ACFEBAD" w14:textId="77777777" w:rsidR="00E56061" w:rsidRPr="005E7DD1" w:rsidRDefault="00E56061" w:rsidP="00E56061">
      <w:pPr>
        <w:rPr>
          <w:rFonts w:asciiTheme="minorHAnsi" w:hAnsiTheme="minorHAnsi" w:cstheme="minorHAnsi"/>
          <w:sz w:val="18"/>
          <w:szCs w:val="18"/>
        </w:rPr>
      </w:pPr>
      <w:r w:rsidRPr="005E7DD1">
        <w:rPr>
          <w:rStyle w:val="FootnoteReference"/>
          <w:rFonts w:asciiTheme="minorHAnsi" w:hAnsiTheme="minorHAnsi" w:cstheme="minorHAnsi"/>
          <w:sz w:val="18"/>
          <w:szCs w:val="18"/>
        </w:rPr>
        <w:footnoteRef/>
      </w:r>
      <w:r w:rsidRPr="005E7DD1">
        <w:rPr>
          <w:rFonts w:asciiTheme="minorHAnsi" w:hAnsiTheme="minorHAnsi" w:cstheme="minorHAnsi"/>
          <w:sz w:val="18"/>
          <w:szCs w:val="18"/>
        </w:rPr>
        <w:t xml:space="preserve"> Gilpin, EA, White VM, Pierce, JP. How effective are tobacco industry bar and club marketing efforts in reaching young </w:t>
      </w:r>
      <w:proofErr w:type="gramStart"/>
      <w:r w:rsidRPr="005E7DD1">
        <w:rPr>
          <w:rFonts w:asciiTheme="minorHAnsi" w:hAnsiTheme="minorHAnsi" w:cstheme="minorHAnsi"/>
          <w:sz w:val="18"/>
          <w:szCs w:val="18"/>
        </w:rPr>
        <w:t>adults.</w:t>
      </w:r>
      <w:proofErr w:type="gramEnd"/>
      <w:r w:rsidRPr="005E7DD1">
        <w:rPr>
          <w:rFonts w:asciiTheme="minorHAnsi" w:hAnsiTheme="minorHAnsi" w:cstheme="minorHAnsi"/>
          <w:sz w:val="18"/>
          <w:szCs w:val="18"/>
        </w:rPr>
        <w:t xml:space="preserve"> Tobacco Control </w:t>
      </w:r>
      <w:proofErr w:type="gramStart"/>
      <w:r w:rsidRPr="005E7DD1">
        <w:rPr>
          <w:rFonts w:asciiTheme="minorHAnsi" w:hAnsiTheme="minorHAnsi" w:cstheme="minorHAnsi"/>
          <w:sz w:val="18"/>
          <w:szCs w:val="18"/>
        </w:rPr>
        <w:t>2005;14:186</w:t>
      </w:r>
      <w:proofErr w:type="gramEnd"/>
      <w:r w:rsidRPr="005E7DD1">
        <w:rPr>
          <w:rFonts w:asciiTheme="minorHAnsi" w:hAnsiTheme="minorHAnsi" w:cstheme="minorHAnsi"/>
          <w:sz w:val="18"/>
          <w:szCs w:val="18"/>
        </w:rPr>
        <w:t xml:space="preserve">–192. </w:t>
      </w:r>
      <w:proofErr w:type="spellStart"/>
      <w:r w:rsidRPr="005E7DD1">
        <w:rPr>
          <w:rFonts w:asciiTheme="minorHAnsi" w:hAnsiTheme="minorHAnsi" w:cstheme="minorHAnsi"/>
          <w:sz w:val="18"/>
          <w:szCs w:val="18"/>
        </w:rPr>
        <w:t>doi</w:t>
      </w:r>
      <w:proofErr w:type="spellEnd"/>
      <w:r w:rsidRPr="005E7DD1">
        <w:rPr>
          <w:rFonts w:asciiTheme="minorHAnsi" w:hAnsiTheme="minorHAnsi" w:cstheme="minorHAnsi"/>
          <w:sz w:val="18"/>
          <w:szCs w:val="18"/>
        </w:rPr>
        <w:t>: 10.1136/tc.2004.009712</w:t>
      </w:r>
    </w:p>
  </w:footnote>
  <w:footnote w:id="93">
    <w:p w14:paraId="55EDE2CD" w14:textId="488F7976" w:rsidR="00FB0E78" w:rsidRPr="0017130F" w:rsidRDefault="00FB0E78" w:rsidP="009D3804">
      <w:pPr>
        <w:rPr>
          <w:rFonts w:asciiTheme="minorHAnsi" w:hAnsiTheme="minorHAnsi" w:cstheme="minorHAnsi"/>
          <w:sz w:val="18"/>
          <w:szCs w:val="18"/>
        </w:rPr>
      </w:pPr>
      <w:r w:rsidRPr="0017130F">
        <w:rPr>
          <w:rStyle w:val="FootnoteReference"/>
          <w:rFonts w:asciiTheme="minorHAnsi" w:hAnsiTheme="minorHAnsi" w:cstheme="minorHAnsi"/>
          <w:sz w:val="18"/>
          <w:szCs w:val="18"/>
        </w:rPr>
        <w:footnoteRef/>
      </w:r>
      <w:r w:rsidRPr="0017130F">
        <w:rPr>
          <w:rFonts w:asciiTheme="minorHAnsi" w:hAnsiTheme="minorHAnsi" w:cstheme="minorHAnsi"/>
          <w:sz w:val="18"/>
          <w:szCs w:val="18"/>
        </w:rPr>
        <w:t xml:space="preserve"> </w:t>
      </w:r>
      <w:r w:rsidRPr="00EA7BF8">
        <w:rPr>
          <w:rFonts w:asciiTheme="minorHAnsi" w:hAnsiTheme="minorHAnsi" w:cstheme="minorHAnsi"/>
          <w:sz w:val="18"/>
          <w:szCs w:val="18"/>
          <w:shd w:val="clear" w:color="auto" w:fill="FFFFFF"/>
        </w:rPr>
        <w:t xml:space="preserve">Levy, D. T., Huang, A. T., </w:t>
      </w:r>
      <w:proofErr w:type="spellStart"/>
      <w:r w:rsidRPr="00EA7BF8">
        <w:rPr>
          <w:rFonts w:asciiTheme="minorHAnsi" w:hAnsiTheme="minorHAnsi" w:cstheme="minorHAnsi"/>
          <w:sz w:val="18"/>
          <w:szCs w:val="18"/>
          <w:shd w:val="clear" w:color="auto" w:fill="FFFFFF"/>
        </w:rPr>
        <w:t>Havumaki</w:t>
      </w:r>
      <w:proofErr w:type="spellEnd"/>
      <w:r w:rsidRPr="00EA7BF8">
        <w:rPr>
          <w:rFonts w:asciiTheme="minorHAnsi" w:hAnsiTheme="minorHAnsi" w:cstheme="minorHAnsi"/>
          <w:sz w:val="18"/>
          <w:szCs w:val="18"/>
          <w:shd w:val="clear" w:color="auto" w:fill="FFFFFF"/>
        </w:rPr>
        <w:t xml:space="preserve">, J. S., &amp; Meza, R. (2016). The role of public policies in reducing smoking prevalence: results from the Michigan </w:t>
      </w:r>
      <w:proofErr w:type="spellStart"/>
      <w:r w:rsidRPr="00EA7BF8">
        <w:rPr>
          <w:rFonts w:asciiTheme="minorHAnsi" w:hAnsiTheme="minorHAnsi" w:cstheme="minorHAnsi"/>
          <w:sz w:val="18"/>
          <w:szCs w:val="18"/>
          <w:shd w:val="clear" w:color="auto" w:fill="FFFFFF"/>
        </w:rPr>
        <w:t>SimSmoke</w:t>
      </w:r>
      <w:proofErr w:type="spellEnd"/>
      <w:r w:rsidRPr="00EA7BF8">
        <w:rPr>
          <w:rFonts w:asciiTheme="minorHAnsi" w:hAnsiTheme="minorHAnsi" w:cstheme="minorHAnsi"/>
          <w:sz w:val="18"/>
          <w:szCs w:val="18"/>
          <w:shd w:val="clear" w:color="auto" w:fill="FFFFFF"/>
        </w:rPr>
        <w:t xml:space="preserve"> tobacco policy simulation model. </w:t>
      </w:r>
      <w:r w:rsidRPr="00EA7BF8">
        <w:rPr>
          <w:rFonts w:asciiTheme="minorHAnsi" w:hAnsiTheme="minorHAnsi" w:cstheme="minorHAnsi"/>
          <w:i/>
          <w:iCs/>
          <w:sz w:val="18"/>
          <w:szCs w:val="18"/>
          <w:shd w:val="clear" w:color="auto" w:fill="FFFFFF"/>
        </w:rPr>
        <w:t>Cancer causes &amp; control : CCC</w:t>
      </w:r>
      <w:r w:rsidRPr="00EA7BF8">
        <w:rPr>
          <w:rFonts w:asciiTheme="minorHAnsi" w:hAnsiTheme="minorHAnsi" w:cstheme="minorHAnsi"/>
          <w:sz w:val="18"/>
          <w:szCs w:val="18"/>
          <w:shd w:val="clear" w:color="auto" w:fill="FFFFFF"/>
        </w:rPr>
        <w:t>, </w:t>
      </w:r>
      <w:r w:rsidRPr="00EA7BF8">
        <w:rPr>
          <w:rFonts w:asciiTheme="minorHAnsi" w:hAnsiTheme="minorHAnsi" w:cstheme="minorHAnsi"/>
          <w:i/>
          <w:iCs/>
          <w:sz w:val="18"/>
          <w:szCs w:val="18"/>
          <w:shd w:val="clear" w:color="auto" w:fill="FFFFFF"/>
        </w:rPr>
        <w:t>27</w:t>
      </w:r>
      <w:r w:rsidRPr="00EA7BF8">
        <w:rPr>
          <w:rFonts w:asciiTheme="minorHAnsi" w:hAnsiTheme="minorHAnsi" w:cstheme="minorHAnsi"/>
          <w:sz w:val="18"/>
          <w:szCs w:val="18"/>
          <w:shd w:val="clear" w:color="auto" w:fill="FFFFFF"/>
        </w:rPr>
        <w:t>(5), 615–625. doi:10.1007/s10552-016-0735-4.</w:t>
      </w:r>
    </w:p>
  </w:footnote>
  <w:footnote w:id="94">
    <w:p w14:paraId="3CC4A828" w14:textId="43336F05" w:rsidR="00FB0E78" w:rsidRPr="0017130F" w:rsidRDefault="00FB0E78" w:rsidP="009D3804">
      <w:pPr>
        <w:rPr>
          <w:rFonts w:asciiTheme="minorHAnsi" w:hAnsiTheme="minorHAnsi" w:cstheme="minorHAnsi"/>
          <w:sz w:val="18"/>
          <w:szCs w:val="18"/>
        </w:rPr>
      </w:pPr>
      <w:r w:rsidRPr="0017130F">
        <w:rPr>
          <w:rStyle w:val="FootnoteReference"/>
          <w:rFonts w:asciiTheme="minorHAnsi" w:hAnsiTheme="minorHAnsi" w:cstheme="minorHAnsi"/>
          <w:sz w:val="18"/>
          <w:szCs w:val="18"/>
        </w:rPr>
        <w:footnoteRef/>
      </w:r>
      <w:r w:rsidRPr="0017130F">
        <w:rPr>
          <w:rFonts w:asciiTheme="minorHAnsi" w:hAnsiTheme="minorHAnsi" w:cstheme="minorHAnsi"/>
          <w:sz w:val="18"/>
          <w:szCs w:val="18"/>
        </w:rPr>
        <w:t xml:space="preserve"> </w:t>
      </w:r>
      <w:proofErr w:type="spellStart"/>
      <w:r w:rsidRPr="00EA7BF8">
        <w:rPr>
          <w:rFonts w:asciiTheme="minorHAnsi" w:hAnsiTheme="minorHAnsi" w:cstheme="minorHAnsi"/>
          <w:sz w:val="18"/>
          <w:szCs w:val="18"/>
          <w:shd w:val="clear" w:color="auto" w:fill="FFFFFF"/>
        </w:rPr>
        <w:t>Farrelly</w:t>
      </w:r>
      <w:proofErr w:type="spellEnd"/>
      <w:r w:rsidRPr="00EA7BF8">
        <w:rPr>
          <w:rFonts w:asciiTheme="minorHAnsi" w:hAnsiTheme="minorHAnsi" w:cstheme="minorHAnsi"/>
          <w:sz w:val="18"/>
          <w:szCs w:val="18"/>
          <w:shd w:val="clear" w:color="auto" w:fill="FFFFFF"/>
        </w:rPr>
        <w:t xml:space="preserve">, M. C., </w:t>
      </w:r>
      <w:proofErr w:type="spellStart"/>
      <w:r w:rsidRPr="00EA7BF8">
        <w:rPr>
          <w:rFonts w:asciiTheme="minorHAnsi" w:hAnsiTheme="minorHAnsi" w:cstheme="minorHAnsi"/>
          <w:sz w:val="18"/>
          <w:szCs w:val="18"/>
          <w:shd w:val="clear" w:color="auto" w:fill="FFFFFF"/>
        </w:rPr>
        <w:t>Nonnemaker</w:t>
      </w:r>
      <w:proofErr w:type="spellEnd"/>
      <w:r w:rsidRPr="00EA7BF8">
        <w:rPr>
          <w:rFonts w:asciiTheme="minorHAnsi" w:hAnsiTheme="minorHAnsi" w:cstheme="minorHAnsi"/>
          <w:sz w:val="18"/>
          <w:szCs w:val="18"/>
          <w:shd w:val="clear" w:color="auto" w:fill="FFFFFF"/>
        </w:rPr>
        <w:t>, J. M., Chou, R., Hyland, A., Peterson, K. K., &amp; Bauer, U. E. (2005). Changes in hospitality workers' exposure to secondhand smoke following the implementation of New York's smoke-free law. </w:t>
      </w:r>
      <w:r w:rsidRPr="00EA7BF8">
        <w:rPr>
          <w:rFonts w:asciiTheme="minorHAnsi" w:hAnsiTheme="minorHAnsi" w:cstheme="minorHAnsi"/>
          <w:i/>
          <w:iCs/>
          <w:sz w:val="18"/>
          <w:szCs w:val="18"/>
          <w:shd w:val="clear" w:color="auto" w:fill="FFFFFF"/>
        </w:rPr>
        <w:t>Tobacco control</w:t>
      </w:r>
      <w:r w:rsidRPr="00EA7BF8">
        <w:rPr>
          <w:rFonts w:asciiTheme="minorHAnsi" w:hAnsiTheme="minorHAnsi" w:cstheme="minorHAnsi"/>
          <w:sz w:val="18"/>
          <w:szCs w:val="18"/>
          <w:shd w:val="clear" w:color="auto" w:fill="FFFFFF"/>
        </w:rPr>
        <w:t>, </w:t>
      </w:r>
      <w:r w:rsidRPr="00EA7BF8">
        <w:rPr>
          <w:rFonts w:asciiTheme="minorHAnsi" w:hAnsiTheme="minorHAnsi" w:cstheme="minorHAnsi"/>
          <w:i/>
          <w:iCs/>
          <w:sz w:val="18"/>
          <w:szCs w:val="18"/>
          <w:shd w:val="clear" w:color="auto" w:fill="FFFFFF"/>
        </w:rPr>
        <w:t>14</w:t>
      </w:r>
      <w:r w:rsidRPr="00EA7BF8">
        <w:rPr>
          <w:rFonts w:asciiTheme="minorHAnsi" w:hAnsiTheme="minorHAnsi" w:cstheme="minorHAnsi"/>
          <w:sz w:val="18"/>
          <w:szCs w:val="18"/>
          <w:shd w:val="clear" w:color="auto" w:fill="FFFFFF"/>
        </w:rPr>
        <w:t>(4), 236–241. doi:10.1136/tc.2004.008839</w:t>
      </w:r>
    </w:p>
  </w:footnote>
  <w:footnote w:id="95">
    <w:p w14:paraId="2AECDE26" w14:textId="7AA4CBBC" w:rsidR="00FB0E78" w:rsidRDefault="00FB0E78" w:rsidP="009D3804">
      <w:r w:rsidRPr="0017130F">
        <w:rPr>
          <w:rStyle w:val="FootnoteReference"/>
          <w:rFonts w:asciiTheme="minorHAnsi" w:hAnsiTheme="minorHAnsi" w:cstheme="minorHAnsi"/>
          <w:sz w:val="18"/>
          <w:szCs w:val="18"/>
        </w:rPr>
        <w:footnoteRef/>
      </w:r>
      <w:r w:rsidRPr="0017130F">
        <w:rPr>
          <w:rFonts w:asciiTheme="minorHAnsi" w:hAnsiTheme="minorHAnsi" w:cstheme="minorHAnsi"/>
          <w:sz w:val="18"/>
          <w:szCs w:val="18"/>
        </w:rPr>
        <w:t xml:space="preserve"> </w:t>
      </w:r>
      <w:r w:rsidRPr="00EA7BF8">
        <w:rPr>
          <w:rFonts w:asciiTheme="minorHAnsi" w:hAnsiTheme="minorHAnsi" w:cstheme="minorHAnsi"/>
          <w:sz w:val="18"/>
          <w:szCs w:val="18"/>
          <w:shd w:val="clear" w:color="auto" w:fill="FFFFFF"/>
        </w:rPr>
        <w:t xml:space="preserve">Frieden, T. R., </w:t>
      </w:r>
      <w:proofErr w:type="spellStart"/>
      <w:r w:rsidRPr="00EA7BF8">
        <w:rPr>
          <w:rFonts w:asciiTheme="minorHAnsi" w:hAnsiTheme="minorHAnsi" w:cstheme="minorHAnsi"/>
          <w:sz w:val="18"/>
          <w:szCs w:val="18"/>
          <w:shd w:val="clear" w:color="auto" w:fill="FFFFFF"/>
        </w:rPr>
        <w:t>Mostashari</w:t>
      </w:r>
      <w:proofErr w:type="spellEnd"/>
      <w:r w:rsidRPr="00EA7BF8">
        <w:rPr>
          <w:rFonts w:asciiTheme="minorHAnsi" w:hAnsiTheme="minorHAnsi" w:cstheme="minorHAnsi"/>
          <w:sz w:val="18"/>
          <w:szCs w:val="18"/>
          <w:shd w:val="clear" w:color="auto" w:fill="FFFFFF"/>
        </w:rPr>
        <w:t xml:space="preserve">, F., </w:t>
      </w:r>
      <w:proofErr w:type="spellStart"/>
      <w:r w:rsidRPr="00EA7BF8">
        <w:rPr>
          <w:rFonts w:asciiTheme="minorHAnsi" w:hAnsiTheme="minorHAnsi" w:cstheme="minorHAnsi"/>
          <w:sz w:val="18"/>
          <w:szCs w:val="18"/>
          <w:shd w:val="clear" w:color="auto" w:fill="FFFFFF"/>
        </w:rPr>
        <w:t>Kerker</w:t>
      </w:r>
      <w:proofErr w:type="spellEnd"/>
      <w:r w:rsidRPr="00EA7BF8">
        <w:rPr>
          <w:rFonts w:asciiTheme="minorHAnsi" w:hAnsiTheme="minorHAnsi" w:cstheme="minorHAnsi"/>
          <w:sz w:val="18"/>
          <w:szCs w:val="18"/>
          <w:shd w:val="clear" w:color="auto" w:fill="FFFFFF"/>
        </w:rPr>
        <w:t xml:space="preserve">, B. D., Miller, N., </w:t>
      </w:r>
      <w:proofErr w:type="spellStart"/>
      <w:r w:rsidRPr="00EA7BF8">
        <w:rPr>
          <w:rFonts w:asciiTheme="minorHAnsi" w:hAnsiTheme="minorHAnsi" w:cstheme="minorHAnsi"/>
          <w:sz w:val="18"/>
          <w:szCs w:val="18"/>
          <w:shd w:val="clear" w:color="auto" w:fill="FFFFFF"/>
        </w:rPr>
        <w:t>Hajat</w:t>
      </w:r>
      <w:proofErr w:type="spellEnd"/>
      <w:r w:rsidRPr="00EA7BF8">
        <w:rPr>
          <w:rFonts w:asciiTheme="minorHAnsi" w:hAnsiTheme="minorHAnsi" w:cstheme="minorHAnsi"/>
          <w:sz w:val="18"/>
          <w:szCs w:val="18"/>
          <w:shd w:val="clear" w:color="auto" w:fill="FFFFFF"/>
        </w:rPr>
        <w:t>, A., &amp; Frankel, M. (2005). Adult tobacco use levels after intensive tobacco control measures: New York City, 2002-2003. </w:t>
      </w:r>
      <w:r w:rsidRPr="00EA7BF8">
        <w:rPr>
          <w:rFonts w:asciiTheme="minorHAnsi" w:hAnsiTheme="minorHAnsi" w:cstheme="minorHAnsi"/>
          <w:i/>
          <w:iCs/>
          <w:sz w:val="18"/>
          <w:szCs w:val="18"/>
          <w:shd w:val="clear" w:color="auto" w:fill="FFFFFF"/>
        </w:rPr>
        <w:t>American journal of public health</w:t>
      </w:r>
      <w:r w:rsidRPr="00EA7BF8">
        <w:rPr>
          <w:rFonts w:asciiTheme="minorHAnsi" w:hAnsiTheme="minorHAnsi" w:cstheme="minorHAnsi"/>
          <w:sz w:val="18"/>
          <w:szCs w:val="18"/>
          <w:shd w:val="clear" w:color="auto" w:fill="FFFFFF"/>
        </w:rPr>
        <w:t>, </w:t>
      </w:r>
      <w:r w:rsidRPr="00EA7BF8">
        <w:rPr>
          <w:rFonts w:asciiTheme="minorHAnsi" w:hAnsiTheme="minorHAnsi" w:cstheme="minorHAnsi"/>
          <w:i/>
          <w:iCs/>
          <w:sz w:val="18"/>
          <w:szCs w:val="18"/>
          <w:shd w:val="clear" w:color="auto" w:fill="FFFFFF"/>
        </w:rPr>
        <w:t>95</w:t>
      </w:r>
      <w:r w:rsidRPr="00EA7BF8">
        <w:rPr>
          <w:rFonts w:asciiTheme="minorHAnsi" w:hAnsiTheme="minorHAnsi" w:cstheme="minorHAnsi"/>
          <w:sz w:val="18"/>
          <w:szCs w:val="18"/>
          <w:shd w:val="clear" w:color="auto" w:fill="FFFFFF"/>
        </w:rPr>
        <w:t>(6), 1016–1023. doi:10.2105/AJPH.2004.058164</w:t>
      </w:r>
    </w:p>
  </w:footnote>
  <w:footnote w:id="96">
    <w:p w14:paraId="70DEA4AE" w14:textId="77777777" w:rsidR="00FB0E78" w:rsidRPr="005E7DD1" w:rsidRDefault="00FB0E78" w:rsidP="00AF4F78">
      <w:pPr>
        <w:pStyle w:val="FootnoteText"/>
        <w:rPr>
          <w:rFonts w:cstheme="minorHAnsi"/>
          <w:sz w:val="18"/>
          <w:szCs w:val="18"/>
        </w:rPr>
      </w:pPr>
      <w:r w:rsidRPr="005E7DD1">
        <w:rPr>
          <w:rStyle w:val="FootnoteReference"/>
          <w:rFonts w:cstheme="minorHAnsi"/>
          <w:sz w:val="18"/>
          <w:szCs w:val="18"/>
        </w:rPr>
        <w:footnoteRef/>
      </w:r>
      <w:r w:rsidRPr="005E7DD1">
        <w:rPr>
          <w:rFonts w:cstheme="minorHAnsi"/>
          <w:sz w:val="18"/>
          <w:szCs w:val="18"/>
        </w:rPr>
        <w:t xml:space="preserve"> https://no-smoke.org/wp-content/uploads/pdf/2018-Indoor-Air-Cannabis01-Schick.pdf</w:t>
      </w:r>
    </w:p>
  </w:footnote>
  <w:footnote w:id="97">
    <w:p w14:paraId="3336B8F2" w14:textId="2AB6A2D5" w:rsidR="00FB0E78" w:rsidRPr="005E7DD1" w:rsidRDefault="00FB0E78" w:rsidP="001B780A">
      <w:pPr>
        <w:rPr>
          <w:rFonts w:asciiTheme="minorHAnsi" w:hAnsiTheme="minorHAnsi" w:cstheme="minorHAnsi"/>
          <w:sz w:val="18"/>
          <w:szCs w:val="18"/>
        </w:rPr>
      </w:pPr>
      <w:r w:rsidRPr="005E7DD1">
        <w:rPr>
          <w:rStyle w:val="FootnoteReference"/>
          <w:rFonts w:asciiTheme="minorHAnsi" w:hAnsiTheme="minorHAnsi" w:cstheme="minorHAnsi"/>
          <w:sz w:val="18"/>
          <w:szCs w:val="18"/>
        </w:rPr>
        <w:footnoteRef/>
      </w:r>
      <w:r w:rsidRPr="005E7DD1">
        <w:rPr>
          <w:rFonts w:asciiTheme="minorHAnsi" w:hAnsiTheme="minorHAnsi" w:cstheme="minorHAnsi"/>
          <w:sz w:val="18"/>
          <w:szCs w:val="18"/>
        </w:rPr>
        <w:t xml:space="preserve"> California Secretary of State, “California General Election November 8, 2016, Official Voter Information Guide,” </w:t>
      </w:r>
      <w:hyperlink r:id="rId16" w:history="1">
        <w:r w:rsidRPr="005E7DD1">
          <w:rPr>
            <w:rStyle w:val="Hyperlink"/>
            <w:rFonts w:asciiTheme="minorHAnsi" w:hAnsiTheme="minorHAnsi" w:cstheme="minorHAnsi"/>
            <w:sz w:val="18"/>
            <w:szCs w:val="18"/>
          </w:rPr>
          <w:t>https://vig.cdn.sos.ca.gov/2016/general/en/pdf/complete-vig.pdf</w:t>
        </w:r>
      </w:hyperlink>
      <w:r w:rsidRPr="005E7DD1">
        <w:rPr>
          <w:rFonts w:asciiTheme="minorHAnsi" w:hAnsiTheme="minorHAnsi" w:cstheme="minorHAnsi"/>
          <w:sz w:val="18"/>
          <w:szCs w:val="18"/>
        </w:rPr>
        <w:t xml:space="preserve">, accessed Dec. 18, 2019. </w:t>
      </w:r>
    </w:p>
  </w:footnote>
  <w:footnote w:id="98">
    <w:p w14:paraId="66EC41A2" w14:textId="01C80FBE" w:rsidR="00FB0E78" w:rsidRPr="005E7DD1" w:rsidRDefault="00FB0E78" w:rsidP="008C70EE">
      <w:r w:rsidRPr="005E7DD1">
        <w:rPr>
          <w:rStyle w:val="FootnoteReference"/>
          <w:rFonts w:asciiTheme="minorHAnsi" w:hAnsiTheme="minorHAnsi" w:cstheme="minorHAnsi"/>
          <w:sz w:val="18"/>
          <w:szCs w:val="18"/>
        </w:rPr>
        <w:footnoteRef/>
      </w:r>
      <w:r w:rsidRPr="005E7DD1">
        <w:rPr>
          <w:rFonts w:asciiTheme="minorHAnsi" w:hAnsiTheme="minorHAnsi" w:cstheme="minorHAnsi"/>
          <w:sz w:val="18"/>
          <w:szCs w:val="18"/>
        </w:rPr>
        <w:t xml:space="preserve"> </w:t>
      </w:r>
      <w:r>
        <w:rPr>
          <w:rFonts w:asciiTheme="minorHAnsi" w:hAnsiTheme="minorHAnsi" w:cstheme="minorHAnsi"/>
          <w:sz w:val="18"/>
          <w:szCs w:val="18"/>
        </w:rPr>
        <w:t xml:space="preserve">Equity First Alliance, National Open Letter, available at </w:t>
      </w:r>
      <w:hyperlink r:id="rId17" w:history="1">
        <w:r w:rsidRPr="006801A5">
          <w:rPr>
            <w:rStyle w:val="Hyperlink"/>
            <w:rFonts w:asciiTheme="minorHAnsi" w:hAnsiTheme="minorHAnsi" w:cstheme="minorHAnsi"/>
            <w:sz w:val="18"/>
            <w:szCs w:val="18"/>
          </w:rPr>
          <w:t>https://www.equityfirstalliance.org/national-letter</w:t>
        </w:r>
      </w:hyperlink>
      <w:r>
        <w:rPr>
          <w:rFonts w:asciiTheme="minorHAnsi" w:hAnsiTheme="minorHAnsi" w:cstheme="minorHAnsi"/>
          <w:sz w:val="18"/>
          <w:szCs w:val="18"/>
        </w:rPr>
        <w:t>, accessed June 1, 2020.</w:t>
      </w:r>
    </w:p>
  </w:footnote>
  <w:footnote w:id="99">
    <w:p w14:paraId="6C6D3599" w14:textId="32AEEF6B" w:rsidR="008C70EE" w:rsidRPr="001B4E37" w:rsidRDefault="008C70EE">
      <w:pPr>
        <w:pStyle w:val="FootnoteText"/>
        <w:rPr>
          <w:sz w:val="18"/>
          <w:szCs w:val="18"/>
        </w:rPr>
      </w:pPr>
      <w:r w:rsidRPr="001B4E37">
        <w:rPr>
          <w:rStyle w:val="FootnoteReference"/>
          <w:sz w:val="18"/>
          <w:szCs w:val="18"/>
        </w:rPr>
        <w:footnoteRef/>
      </w:r>
      <w:r w:rsidRPr="001B4E37">
        <w:rPr>
          <w:sz w:val="18"/>
          <w:szCs w:val="18"/>
        </w:rPr>
        <w:t xml:space="preserve"> </w:t>
      </w:r>
      <w:r w:rsidRPr="001B4E37">
        <w:rPr>
          <w:noProof/>
          <w:sz w:val="18"/>
          <w:szCs w:val="18"/>
        </w:rPr>
        <w:t>When the Smoke Clears: Racial disparities in California's marijuana arrests. UCLA, UC Davis, and Public Health Advocates. Sacramento 2020.</w:t>
      </w:r>
    </w:p>
  </w:footnote>
  <w:footnote w:id="100">
    <w:p w14:paraId="5AC1EBCE" w14:textId="2CA0EBD9" w:rsidR="00FB0E78" w:rsidRPr="00F02335" w:rsidRDefault="00FB0E78" w:rsidP="00F02335">
      <w:pPr>
        <w:rPr>
          <w:rFonts w:cstheme="minorHAnsi"/>
          <w:sz w:val="18"/>
          <w:szCs w:val="18"/>
        </w:rPr>
      </w:pPr>
      <w:r w:rsidRPr="00F02335">
        <w:rPr>
          <w:rStyle w:val="FootnoteReference"/>
          <w:rFonts w:asciiTheme="minorHAnsi" w:hAnsiTheme="minorHAnsi" w:cstheme="minorHAnsi"/>
          <w:sz w:val="18"/>
          <w:szCs w:val="18"/>
        </w:rPr>
        <w:footnoteRef/>
      </w:r>
      <w:r w:rsidRPr="00F02335">
        <w:rPr>
          <w:rFonts w:asciiTheme="minorHAnsi" w:hAnsiTheme="minorHAnsi" w:cstheme="minorHAnsi"/>
          <w:sz w:val="18"/>
          <w:szCs w:val="18"/>
        </w:rPr>
        <w:t xml:space="preserve"> Drug Policy Alliance. Proposition 64 implementation: ten 18 recommendations for prioritizing social justice &amp; equity.</w:t>
      </w:r>
      <w:r>
        <w:rPr>
          <w:rFonts w:asciiTheme="minorHAnsi" w:hAnsiTheme="minorHAnsi" w:cstheme="minorHAnsi"/>
          <w:sz w:val="18"/>
          <w:szCs w:val="18"/>
        </w:rPr>
        <w:t xml:space="preserve"> </w:t>
      </w:r>
      <w:hyperlink r:id="rId18" w:history="1">
        <w:r w:rsidRPr="00F02335">
          <w:rPr>
            <w:rStyle w:val="Hyperlink"/>
            <w:rFonts w:asciiTheme="minorHAnsi" w:hAnsiTheme="minorHAnsi" w:cstheme="minorHAnsi"/>
            <w:sz w:val="18"/>
            <w:szCs w:val="18"/>
          </w:rPr>
          <w:t>https://www.drugpolicy.org/sites/default/files/california-marijuana-policy-equity-recommendations-final_2.pdf</w:t>
        </w:r>
      </w:hyperlink>
      <w:r w:rsidRPr="00F02335">
        <w:rPr>
          <w:rFonts w:asciiTheme="minorHAnsi" w:hAnsiTheme="minorHAnsi" w:cstheme="minorHAnsi"/>
          <w:sz w:val="18"/>
          <w:szCs w:val="18"/>
        </w:rPr>
        <w:t>.</w:t>
      </w:r>
      <w:r>
        <w:rPr>
          <w:rFonts w:asciiTheme="minorHAnsi" w:hAnsiTheme="minorHAnsi" w:cstheme="minorHAnsi"/>
          <w:sz w:val="18"/>
          <w:szCs w:val="18"/>
        </w:rPr>
        <w:t xml:space="preserve"> </w:t>
      </w:r>
      <w:r w:rsidRPr="00F02335">
        <w:rPr>
          <w:rFonts w:asciiTheme="minorHAnsi" w:hAnsiTheme="minorHAnsi" w:cstheme="minorHAnsi"/>
          <w:sz w:val="18"/>
          <w:szCs w:val="18"/>
        </w:rPr>
        <w:t xml:space="preserve">Accessed May 25, 2020. </w:t>
      </w:r>
    </w:p>
  </w:footnote>
  <w:footnote w:id="101">
    <w:p w14:paraId="55451A77" w14:textId="3ECFFDB4" w:rsidR="00FB0E78" w:rsidRPr="00CF406B" w:rsidRDefault="00FB0E78" w:rsidP="005E7DD1">
      <w:pPr>
        <w:rPr>
          <w:rFonts w:asciiTheme="minorHAnsi" w:hAnsiTheme="minorHAnsi" w:cstheme="minorHAnsi"/>
          <w:sz w:val="18"/>
          <w:szCs w:val="18"/>
        </w:rPr>
      </w:pPr>
      <w:r w:rsidRPr="00CF406B">
        <w:rPr>
          <w:rStyle w:val="FootnoteReference"/>
          <w:rFonts w:asciiTheme="minorHAnsi" w:hAnsiTheme="minorHAnsi" w:cstheme="minorHAnsi"/>
          <w:sz w:val="18"/>
          <w:szCs w:val="18"/>
        </w:rPr>
        <w:footnoteRef/>
      </w:r>
      <w:r w:rsidRPr="00CF406B">
        <w:rPr>
          <w:rFonts w:asciiTheme="minorHAnsi" w:hAnsiTheme="minorHAnsi" w:cstheme="minorHAnsi"/>
          <w:sz w:val="18"/>
          <w:szCs w:val="18"/>
        </w:rPr>
        <w:t xml:space="preserve"> American Medical Association. Code of Medical Ethics Opinion 11.2.2. </w:t>
      </w:r>
      <w:hyperlink r:id="rId19" w:history="1">
        <w:r w:rsidRPr="00CF406B">
          <w:rPr>
            <w:rStyle w:val="Hyperlink"/>
            <w:rFonts w:asciiTheme="minorHAnsi" w:hAnsiTheme="minorHAnsi" w:cstheme="minorHAnsi"/>
            <w:sz w:val="18"/>
            <w:szCs w:val="18"/>
          </w:rPr>
          <w:t>https://www.ama-assn.org/delivering-care/ethics/conflicts-interest-patient-care</w:t>
        </w:r>
      </w:hyperlink>
      <w:r w:rsidRPr="00CF406B">
        <w:rPr>
          <w:rFonts w:asciiTheme="minorHAnsi" w:hAnsiTheme="minorHAnsi" w:cstheme="minorHAnsi"/>
          <w:sz w:val="18"/>
          <w:szCs w:val="18"/>
        </w:rPr>
        <w:t xml:space="preserve">. Last accessed Dec. 19, 2019. </w:t>
      </w:r>
    </w:p>
    <w:p w14:paraId="61721FBE" w14:textId="1C06B69A" w:rsidR="00FB0E78" w:rsidRPr="005E7DD1" w:rsidRDefault="00FB0E78">
      <w:pPr>
        <w:pStyle w:val="FootnoteText"/>
        <w:rPr>
          <w:rFonts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12242"/>
    <w:multiLevelType w:val="multilevel"/>
    <w:tmpl w:val="D8944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747F8A"/>
    <w:multiLevelType w:val="multilevel"/>
    <w:tmpl w:val="607E4B5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77"/>
    <w:rsid w:val="00000E35"/>
    <w:rsid w:val="000076DC"/>
    <w:rsid w:val="00024BEB"/>
    <w:rsid w:val="00047FFA"/>
    <w:rsid w:val="00093104"/>
    <w:rsid w:val="00095037"/>
    <w:rsid w:val="000C2B4F"/>
    <w:rsid w:val="000C48E8"/>
    <w:rsid w:val="000C4D86"/>
    <w:rsid w:val="000C5EB7"/>
    <w:rsid w:val="000D76B3"/>
    <w:rsid w:val="000E422F"/>
    <w:rsid w:val="000F1B65"/>
    <w:rsid w:val="000F659F"/>
    <w:rsid w:val="000F7E14"/>
    <w:rsid w:val="00101C11"/>
    <w:rsid w:val="00112FA4"/>
    <w:rsid w:val="001135CB"/>
    <w:rsid w:val="001376CD"/>
    <w:rsid w:val="0014409A"/>
    <w:rsid w:val="001614BF"/>
    <w:rsid w:val="0017130F"/>
    <w:rsid w:val="00181DD4"/>
    <w:rsid w:val="001B4E37"/>
    <w:rsid w:val="001B780A"/>
    <w:rsid w:val="001C2473"/>
    <w:rsid w:val="00201841"/>
    <w:rsid w:val="00220F86"/>
    <w:rsid w:val="00242477"/>
    <w:rsid w:val="00272ADD"/>
    <w:rsid w:val="00286BE3"/>
    <w:rsid w:val="002B4E94"/>
    <w:rsid w:val="002C4495"/>
    <w:rsid w:val="002C4A36"/>
    <w:rsid w:val="002C7122"/>
    <w:rsid w:val="0030564E"/>
    <w:rsid w:val="00311D00"/>
    <w:rsid w:val="00316EE1"/>
    <w:rsid w:val="003360B5"/>
    <w:rsid w:val="0034262F"/>
    <w:rsid w:val="0034547D"/>
    <w:rsid w:val="0034683F"/>
    <w:rsid w:val="00376E4B"/>
    <w:rsid w:val="00377AC9"/>
    <w:rsid w:val="003977F2"/>
    <w:rsid w:val="00397A28"/>
    <w:rsid w:val="003B6C8F"/>
    <w:rsid w:val="003B6FA7"/>
    <w:rsid w:val="004142E7"/>
    <w:rsid w:val="004325F9"/>
    <w:rsid w:val="004571DA"/>
    <w:rsid w:val="00457934"/>
    <w:rsid w:val="00461477"/>
    <w:rsid w:val="00473869"/>
    <w:rsid w:val="004855BC"/>
    <w:rsid w:val="00487487"/>
    <w:rsid w:val="00490065"/>
    <w:rsid w:val="004B188D"/>
    <w:rsid w:val="004B18C5"/>
    <w:rsid w:val="004D32A9"/>
    <w:rsid w:val="004F6579"/>
    <w:rsid w:val="0053298B"/>
    <w:rsid w:val="00542B25"/>
    <w:rsid w:val="00555749"/>
    <w:rsid w:val="00561F1B"/>
    <w:rsid w:val="005647E3"/>
    <w:rsid w:val="00566DB7"/>
    <w:rsid w:val="00595D2C"/>
    <w:rsid w:val="005B0A75"/>
    <w:rsid w:val="005D30A2"/>
    <w:rsid w:val="005E46C7"/>
    <w:rsid w:val="005E7DD1"/>
    <w:rsid w:val="00612836"/>
    <w:rsid w:val="00612B87"/>
    <w:rsid w:val="00622870"/>
    <w:rsid w:val="006231E3"/>
    <w:rsid w:val="00644BC2"/>
    <w:rsid w:val="00677090"/>
    <w:rsid w:val="006801A5"/>
    <w:rsid w:val="00682CC7"/>
    <w:rsid w:val="00683A63"/>
    <w:rsid w:val="00684B20"/>
    <w:rsid w:val="00687012"/>
    <w:rsid w:val="00695A16"/>
    <w:rsid w:val="006A4258"/>
    <w:rsid w:val="006B79BA"/>
    <w:rsid w:val="006C46DE"/>
    <w:rsid w:val="006E6ABB"/>
    <w:rsid w:val="006F0C60"/>
    <w:rsid w:val="007217AA"/>
    <w:rsid w:val="007263F3"/>
    <w:rsid w:val="007318F2"/>
    <w:rsid w:val="00747A79"/>
    <w:rsid w:val="007505D0"/>
    <w:rsid w:val="00753C35"/>
    <w:rsid w:val="00766638"/>
    <w:rsid w:val="00782480"/>
    <w:rsid w:val="007944F6"/>
    <w:rsid w:val="007A6306"/>
    <w:rsid w:val="007D4D23"/>
    <w:rsid w:val="007D5021"/>
    <w:rsid w:val="008024E2"/>
    <w:rsid w:val="00805210"/>
    <w:rsid w:val="0081626A"/>
    <w:rsid w:val="008454FA"/>
    <w:rsid w:val="00856757"/>
    <w:rsid w:val="008603BA"/>
    <w:rsid w:val="0087429D"/>
    <w:rsid w:val="008A3D9A"/>
    <w:rsid w:val="008A43CF"/>
    <w:rsid w:val="008C2D6E"/>
    <w:rsid w:val="008C70EE"/>
    <w:rsid w:val="008E36DC"/>
    <w:rsid w:val="008E3B50"/>
    <w:rsid w:val="0090146C"/>
    <w:rsid w:val="0091793F"/>
    <w:rsid w:val="0092495C"/>
    <w:rsid w:val="009278D1"/>
    <w:rsid w:val="00927C34"/>
    <w:rsid w:val="00940F20"/>
    <w:rsid w:val="009429F1"/>
    <w:rsid w:val="009652C9"/>
    <w:rsid w:val="0097208B"/>
    <w:rsid w:val="00977C75"/>
    <w:rsid w:val="009A49D9"/>
    <w:rsid w:val="009A6D79"/>
    <w:rsid w:val="009B074F"/>
    <w:rsid w:val="009B5329"/>
    <w:rsid w:val="009B5A94"/>
    <w:rsid w:val="009D3804"/>
    <w:rsid w:val="009E7D2E"/>
    <w:rsid w:val="00A136C8"/>
    <w:rsid w:val="00A54FB7"/>
    <w:rsid w:val="00A614F5"/>
    <w:rsid w:val="00A857C4"/>
    <w:rsid w:val="00AA18A0"/>
    <w:rsid w:val="00AA3250"/>
    <w:rsid w:val="00AA771A"/>
    <w:rsid w:val="00AB6B2C"/>
    <w:rsid w:val="00AF4F78"/>
    <w:rsid w:val="00B024EA"/>
    <w:rsid w:val="00B053D3"/>
    <w:rsid w:val="00B21425"/>
    <w:rsid w:val="00B21763"/>
    <w:rsid w:val="00B35482"/>
    <w:rsid w:val="00B409DB"/>
    <w:rsid w:val="00B51622"/>
    <w:rsid w:val="00B548CD"/>
    <w:rsid w:val="00B65B94"/>
    <w:rsid w:val="00BA05DA"/>
    <w:rsid w:val="00BA37DD"/>
    <w:rsid w:val="00BA64BE"/>
    <w:rsid w:val="00BC1F44"/>
    <w:rsid w:val="00C01086"/>
    <w:rsid w:val="00C21A9A"/>
    <w:rsid w:val="00C3372A"/>
    <w:rsid w:val="00C559E5"/>
    <w:rsid w:val="00C561B0"/>
    <w:rsid w:val="00C65C58"/>
    <w:rsid w:val="00C71E16"/>
    <w:rsid w:val="00CF17F9"/>
    <w:rsid w:val="00CF406B"/>
    <w:rsid w:val="00D04FF4"/>
    <w:rsid w:val="00D112B0"/>
    <w:rsid w:val="00D2693A"/>
    <w:rsid w:val="00D55F03"/>
    <w:rsid w:val="00D630BC"/>
    <w:rsid w:val="00D867C5"/>
    <w:rsid w:val="00D93443"/>
    <w:rsid w:val="00DA2171"/>
    <w:rsid w:val="00DE1E77"/>
    <w:rsid w:val="00DE2641"/>
    <w:rsid w:val="00DE4F43"/>
    <w:rsid w:val="00E023DD"/>
    <w:rsid w:val="00E065DE"/>
    <w:rsid w:val="00E203E6"/>
    <w:rsid w:val="00E35161"/>
    <w:rsid w:val="00E37566"/>
    <w:rsid w:val="00E377DE"/>
    <w:rsid w:val="00E44FFE"/>
    <w:rsid w:val="00E56061"/>
    <w:rsid w:val="00E70B28"/>
    <w:rsid w:val="00E74F6A"/>
    <w:rsid w:val="00E77E0B"/>
    <w:rsid w:val="00EA7BF8"/>
    <w:rsid w:val="00EB17B6"/>
    <w:rsid w:val="00EB2BE4"/>
    <w:rsid w:val="00EC0DF1"/>
    <w:rsid w:val="00EC7497"/>
    <w:rsid w:val="00ED3A1B"/>
    <w:rsid w:val="00F02335"/>
    <w:rsid w:val="00F26CEC"/>
    <w:rsid w:val="00F64532"/>
    <w:rsid w:val="00F94D7B"/>
    <w:rsid w:val="00FB0E78"/>
    <w:rsid w:val="00FB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8D0E"/>
  <w15:chartTrackingRefBased/>
  <w15:docId w15:val="{5EAB7E3A-61A0-5544-A5F4-5521421B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94"/>
    <w:rPr>
      <w:rFonts w:ascii="Times New Roman" w:eastAsia="Times New Roman" w:hAnsi="Times New Roman" w:cs="Times New Roman"/>
    </w:rPr>
  </w:style>
  <w:style w:type="paragraph" w:styleId="Heading1">
    <w:name w:val="heading 1"/>
    <w:basedOn w:val="Normal"/>
    <w:next w:val="Normal"/>
    <w:link w:val="Heading1Char"/>
    <w:uiPriority w:val="9"/>
    <w:qFormat/>
    <w:rsid w:val="00747A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747A79"/>
    <w:pPr>
      <w:keepLines w:val="0"/>
      <w:suppressAutoHyphens/>
      <w:spacing w:before="0" w:line="320" w:lineRule="exact"/>
      <w:outlineLvl w:val="1"/>
    </w:pPr>
    <w:rPr>
      <w:rFonts w:asciiTheme="minorHAnsi" w:eastAsia="Times New Roman" w:hAnsiTheme="minorHAnsi" w:cs="Times New Roman"/>
      <w:b/>
      <w:color w:val="auto"/>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E77"/>
    <w:rPr>
      <w:color w:val="0000FF"/>
      <w:u w:val="single"/>
    </w:rPr>
  </w:style>
  <w:style w:type="paragraph" w:styleId="FootnoteText">
    <w:name w:val="footnote text"/>
    <w:basedOn w:val="Normal"/>
    <w:link w:val="FootnoteTextChar"/>
    <w:uiPriority w:val="99"/>
    <w:unhideWhenUsed/>
    <w:rsid w:val="00DE1E7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E1E77"/>
    <w:rPr>
      <w:sz w:val="20"/>
      <w:szCs w:val="20"/>
    </w:rPr>
  </w:style>
  <w:style w:type="character" w:styleId="FootnoteReference">
    <w:name w:val="footnote reference"/>
    <w:basedOn w:val="DefaultParagraphFont"/>
    <w:uiPriority w:val="99"/>
    <w:unhideWhenUsed/>
    <w:rsid w:val="00DE1E77"/>
    <w:rPr>
      <w:vertAlign w:val="superscript"/>
    </w:rPr>
  </w:style>
  <w:style w:type="character" w:customStyle="1" w:styleId="apple-converted-space">
    <w:name w:val="apple-converted-space"/>
    <w:basedOn w:val="DefaultParagraphFont"/>
    <w:rsid w:val="00DE1E77"/>
  </w:style>
  <w:style w:type="character" w:styleId="CommentReference">
    <w:name w:val="annotation reference"/>
    <w:basedOn w:val="DefaultParagraphFont"/>
    <w:uiPriority w:val="99"/>
    <w:semiHidden/>
    <w:unhideWhenUsed/>
    <w:rsid w:val="00DE1E77"/>
    <w:rPr>
      <w:sz w:val="16"/>
      <w:szCs w:val="16"/>
    </w:rPr>
  </w:style>
  <w:style w:type="paragraph" w:styleId="CommentText">
    <w:name w:val="annotation text"/>
    <w:basedOn w:val="Normal"/>
    <w:link w:val="CommentTextChar"/>
    <w:uiPriority w:val="99"/>
    <w:semiHidden/>
    <w:unhideWhenUsed/>
    <w:rsid w:val="00DE1E7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E1E77"/>
    <w:rPr>
      <w:sz w:val="20"/>
      <w:szCs w:val="20"/>
    </w:rPr>
  </w:style>
  <w:style w:type="paragraph" w:customStyle="1" w:styleId="BasicParagraph">
    <w:name w:val="[Basic Paragraph]"/>
    <w:basedOn w:val="Normal"/>
    <w:rsid w:val="00DE1E77"/>
    <w:pPr>
      <w:widowControl w:val="0"/>
      <w:autoSpaceDE w:val="0"/>
      <w:autoSpaceDN w:val="0"/>
      <w:adjustRightInd w:val="0"/>
      <w:spacing w:line="288" w:lineRule="auto"/>
      <w:textAlignment w:val="center"/>
    </w:pPr>
    <w:rPr>
      <w:rFonts w:cs="Times-Roman"/>
      <w:color w:val="000000"/>
      <w:lang w:bidi="en-US"/>
    </w:rPr>
  </w:style>
  <w:style w:type="paragraph" w:styleId="BalloonText">
    <w:name w:val="Balloon Text"/>
    <w:basedOn w:val="Normal"/>
    <w:link w:val="BalloonTextChar"/>
    <w:uiPriority w:val="99"/>
    <w:semiHidden/>
    <w:unhideWhenUsed/>
    <w:rsid w:val="00DE1E77"/>
    <w:rPr>
      <w:rFonts w:eastAsiaTheme="minorHAnsi"/>
      <w:sz w:val="18"/>
      <w:szCs w:val="18"/>
    </w:rPr>
  </w:style>
  <w:style w:type="character" w:customStyle="1" w:styleId="BalloonTextChar">
    <w:name w:val="Balloon Text Char"/>
    <w:basedOn w:val="DefaultParagraphFont"/>
    <w:link w:val="BalloonText"/>
    <w:uiPriority w:val="99"/>
    <w:semiHidden/>
    <w:rsid w:val="00DE1E77"/>
    <w:rPr>
      <w:rFonts w:ascii="Times New Roman" w:hAnsi="Times New Roman" w:cs="Times New Roman"/>
      <w:sz w:val="18"/>
      <w:szCs w:val="18"/>
    </w:rPr>
  </w:style>
  <w:style w:type="paragraph" w:styleId="Bibliography">
    <w:name w:val="Bibliography"/>
    <w:basedOn w:val="Normal"/>
    <w:next w:val="Normal"/>
    <w:uiPriority w:val="37"/>
    <w:unhideWhenUsed/>
    <w:rsid w:val="00DE1E77"/>
    <w:rPr>
      <w:rFonts w:asciiTheme="minorHAnsi" w:eastAsiaTheme="minorHAnsi" w:hAnsiTheme="minorHAnsi" w:cstheme="minorBidi"/>
    </w:rPr>
  </w:style>
  <w:style w:type="paragraph" w:customStyle="1" w:styleId="desc">
    <w:name w:val="desc"/>
    <w:basedOn w:val="Normal"/>
    <w:rsid w:val="00DE1E77"/>
    <w:pPr>
      <w:spacing w:before="100" w:beforeAutospacing="1" w:after="100" w:afterAutospacing="1"/>
    </w:pPr>
    <w:rPr>
      <w:rFonts w:ascii="Times" w:eastAsiaTheme="minorHAnsi" w:hAnsi="Times" w:cstheme="minorBidi"/>
      <w:sz w:val="20"/>
      <w:szCs w:val="20"/>
    </w:rPr>
  </w:style>
  <w:style w:type="character" w:customStyle="1" w:styleId="jrnl">
    <w:name w:val="jrnl"/>
    <w:basedOn w:val="DefaultParagraphFont"/>
    <w:rsid w:val="00DE1E77"/>
  </w:style>
  <w:style w:type="paragraph" w:styleId="EndnoteText">
    <w:name w:val="endnote text"/>
    <w:basedOn w:val="Normal"/>
    <w:link w:val="EndnoteTextChar"/>
    <w:uiPriority w:val="99"/>
    <w:unhideWhenUsed/>
    <w:rsid w:val="00DE1E77"/>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E1E77"/>
    <w:rPr>
      <w:sz w:val="20"/>
      <w:szCs w:val="20"/>
    </w:rPr>
  </w:style>
  <w:style w:type="character" w:styleId="EndnoteReference">
    <w:name w:val="endnote reference"/>
    <w:basedOn w:val="DefaultParagraphFont"/>
    <w:uiPriority w:val="99"/>
    <w:unhideWhenUsed/>
    <w:rsid w:val="00DE1E77"/>
    <w:rPr>
      <w:vertAlign w:val="superscript"/>
    </w:rPr>
  </w:style>
  <w:style w:type="character" w:customStyle="1" w:styleId="sr-only">
    <w:name w:val="sr-only"/>
    <w:basedOn w:val="DefaultParagraphFont"/>
    <w:rsid w:val="00ED3A1B"/>
  </w:style>
  <w:style w:type="character" w:customStyle="1" w:styleId="file-details">
    <w:name w:val="file-details"/>
    <w:basedOn w:val="DefaultParagraphFont"/>
    <w:rsid w:val="00ED3A1B"/>
  </w:style>
  <w:style w:type="paragraph" w:styleId="CommentSubject">
    <w:name w:val="annotation subject"/>
    <w:basedOn w:val="CommentText"/>
    <w:next w:val="CommentText"/>
    <w:link w:val="CommentSubjectChar"/>
    <w:uiPriority w:val="99"/>
    <w:semiHidden/>
    <w:unhideWhenUsed/>
    <w:rsid w:val="00C01086"/>
    <w:rPr>
      <w:b/>
      <w:bCs/>
    </w:rPr>
  </w:style>
  <w:style w:type="character" w:customStyle="1" w:styleId="CommentSubjectChar">
    <w:name w:val="Comment Subject Char"/>
    <w:basedOn w:val="CommentTextChar"/>
    <w:link w:val="CommentSubject"/>
    <w:uiPriority w:val="99"/>
    <w:semiHidden/>
    <w:rsid w:val="00C01086"/>
    <w:rPr>
      <w:b/>
      <w:bCs/>
      <w:sz w:val="20"/>
      <w:szCs w:val="20"/>
    </w:rPr>
  </w:style>
  <w:style w:type="character" w:styleId="FollowedHyperlink">
    <w:name w:val="FollowedHyperlink"/>
    <w:basedOn w:val="DefaultParagraphFont"/>
    <w:uiPriority w:val="99"/>
    <w:semiHidden/>
    <w:unhideWhenUsed/>
    <w:rsid w:val="00201841"/>
    <w:rPr>
      <w:color w:val="954F72" w:themeColor="followedHyperlink"/>
      <w:u w:val="single"/>
    </w:rPr>
  </w:style>
  <w:style w:type="character" w:styleId="UnresolvedMention">
    <w:name w:val="Unresolved Mention"/>
    <w:basedOn w:val="DefaultParagraphFont"/>
    <w:uiPriority w:val="99"/>
    <w:semiHidden/>
    <w:unhideWhenUsed/>
    <w:rsid w:val="00201841"/>
    <w:rPr>
      <w:color w:val="605E5C"/>
      <w:shd w:val="clear" w:color="auto" w:fill="E1DFDD"/>
    </w:rPr>
  </w:style>
  <w:style w:type="character" w:customStyle="1" w:styleId="wordphrase">
    <w:name w:val="wordphrase"/>
    <w:basedOn w:val="DefaultParagraphFont"/>
    <w:rsid w:val="004B188D"/>
  </w:style>
  <w:style w:type="character" w:customStyle="1" w:styleId="hlfld-contribauthor">
    <w:name w:val="hlfld-contribauthor"/>
    <w:basedOn w:val="DefaultParagraphFont"/>
    <w:rsid w:val="00376E4B"/>
  </w:style>
  <w:style w:type="character" w:customStyle="1" w:styleId="nlmgiven-names">
    <w:name w:val="nlm_given-names"/>
    <w:basedOn w:val="DefaultParagraphFont"/>
    <w:rsid w:val="00376E4B"/>
  </w:style>
  <w:style w:type="character" w:customStyle="1" w:styleId="nlmyear">
    <w:name w:val="nlm_year"/>
    <w:basedOn w:val="DefaultParagraphFont"/>
    <w:rsid w:val="00376E4B"/>
  </w:style>
  <w:style w:type="character" w:customStyle="1" w:styleId="nlmarticle-title">
    <w:name w:val="nlm_article-title"/>
    <w:basedOn w:val="DefaultParagraphFont"/>
    <w:rsid w:val="00376E4B"/>
  </w:style>
  <w:style w:type="character" w:customStyle="1" w:styleId="nlmfpage">
    <w:name w:val="nlm_fpage"/>
    <w:basedOn w:val="DefaultParagraphFont"/>
    <w:rsid w:val="00376E4B"/>
  </w:style>
  <w:style w:type="character" w:customStyle="1" w:styleId="nlmlpage">
    <w:name w:val="nlm_lpage"/>
    <w:basedOn w:val="DefaultParagraphFont"/>
    <w:rsid w:val="00376E4B"/>
  </w:style>
  <w:style w:type="character" w:customStyle="1" w:styleId="ref-overlay">
    <w:name w:val="ref-overlay"/>
    <w:basedOn w:val="DefaultParagraphFont"/>
    <w:rsid w:val="00376E4B"/>
  </w:style>
  <w:style w:type="character" w:customStyle="1" w:styleId="nlmpub-id">
    <w:name w:val="nlm_pub-id"/>
    <w:basedOn w:val="DefaultParagraphFont"/>
    <w:rsid w:val="00376E4B"/>
  </w:style>
  <w:style w:type="character" w:customStyle="1" w:styleId="Heading2Char">
    <w:name w:val="Heading 2 Char"/>
    <w:basedOn w:val="DefaultParagraphFont"/>
    <w:link w:val="Heading2"/>
    <w:rsid w:val="00747A79"/>
    <w:rPr>
      <w:rFonts w:eastAsia="Times New Roman" w:cs="Times New Roman"/>
      <w:b/>
      <w:kern w:val="32"/>
      <w:sz w:val="22"/>
      <w:szCs w:val="22"/>
    </w:rPr>
  </w:style>
  <w:style w:type="character" w:customStyle="1" w:styleId="Heading1Char">
    <w:name w:val="Heading 1 Char"/>
    <w:basedOn w:val="DefaultParagraphFont"/>
    <w:link w:val="Heading1"/>
    <w:uiPriority w:val="9"/>
    <w:rsid w:val="00747A7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1626A"/>
    <w:pPr>
      <w:spacing w:before="100" w:beforeAutospacing="1" w:after="100" w:afterAutospacing="1"/>
    </w:pPr>
  </w:style>
  <w:style w:type="paragraph" w:styleId="Footer">
    <w:name w:val="footer"/>
    <w:basedOn w:val="Normal"/>
    <w:link w:val="FooterChar"/>
    <w:uiPriority w:val="99"/>
    <w:unhideWhenUsed/>
    <w:rsid w:val="002C7122"/>
    <w:pPr>
      <w:tabs>
        <w:tab w:val="center" w:pos="4680"/>
        <w:tab w:val="right" w:pos="9360"/>
      </w:tabs>
    </w:pPr>
  </w:style>
  <w:style w:type="character" w:customStyle="1" w:styleId="FooterChar">
    <w:name w:val="Footer Char"/>
    <w:basedOn w:val="DefaultParagraphFont"/>
    <w:link w:val="Footer"/>
    <w:uiPriority w:val="99"/>
    <w:rsid w:val="002C7122"/>
    <w:rPr>
      <w:rFonts w:ascii="Times New Roman" w:eastAsia="Times New Roman" w:hAnsi="Times New Roman" w:cs="Times New Roman"/>
    </w:rPr>
  </w:style>
  <w:style w:type="character" w:styleId="PageNumber">
    <w:name w:val="page number"/>
    <w:basedOn w:val="DefaultParagraphFont"/>
    <w:uiPriority w:val="99"/>
    <w:semiHidden/>
    <w:unhideWhenUsed/>
    <w:rsid w:val="002C7122"/>
  </w:style>
  <w:style w:type="paragraph" w:customStyle="1" w:styleId="Default">
    <w:name w:val="Default"/>
    <w:rsid w:val="00555749"/>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782480"/>
    <w:rPr>
      <w:rFonts w:ascii="Times New Roman" w:eastAsia="Times New Roman" w:hAnsi="Times New Roman" w:cs="Times New Roman"/>
    </w:rPr>
  </w:style>
  <w:style w:type="character" w:styleId="Emphasis">
    <w:name w:val="Emphasis"/>
    <w:basedOn w:val="DefaultParagraphFont"/>
    <w:uiPriority w:val="20"/>
    <w:qFormat/>
    <w:rsid w:val="009D3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5807">
      <w:bodyDiv w:val="1"/>
      <w:marLeft w:val="0"/>
      <w:marRight w:val="0"/>
      <w:marTop w:val="0"/>
      <w:marBottom w:val="0"/>
      <w:divBdr>
        <w:top w:val="none" w:sz="0" w:space="0" w:color="auto"/>
        <w:left w:val="none" w:sz="0" w:space="0" w:color="auto"/>
        <w:bottom w:val="none" w:sz="0" w:space="0" w:color="auto"/>
        <w:right w:val="none" w:sz="0" w:space="0" w:color="auto"/>
      </w:divBdr>
    </w:div>
    <w:div w:id="11616152">
      <w:bodyDiv w:val="1"/>
      <w:marLeft w:val="0"/>
      <w:marRight w:val="0"/>
      <w:marTop w:val="0"/>
      <w:marBottom w:val="0"/>
      <w:divBdr>
        <w:top w:val="none" w:sz="0" w:space="0" w:color="auto"/>
        <w:left w:val="none" w:sz="0" w:space="0" w:color="auto"/>
        <w:bottom w:val="none" w:sz="0" w:space="0" w:color="auto"/>
        <w:right w:val="none" w:sz="0" w:space="0" w:color="auto"/>
      </w:divBdr>
    </w:div>
    <w:div w:id="20136398">
      <w:bodyDiv w:val="1"/>
      <w:marLeft w:val="0"/>
      <w:marRight w:val="0"/>
      <w:marTop w:val="0"/>
      <w:marBottom w:val="0"/>
      <w:divBdr>
        <w:top w:val="none" w:sz="0" w:space="0" w:color="auto"/>
        <w:left w:val="none" w:sz="0" w:space="0" w:color="auto"/>
        <w:bottom w:val="none" w:sz="0" w:space="0" w:color="auto"/>
        <w:right w:val="none" w:sz="0" w:space="0" w:color="auto"/>
      </w:divBdr>
    </w:div>
    <w:div w:id="34281467">
      <w:bodyDiv w:val="1"/>
      <w:marLeft w:val="0"/>
      <w:marRight w:val="0"/>
      <w:marTop w:val="0"/>
      <w:marBottom w:val="0"/>
      <w:divBdr>
        <w:top w:val="none" w:sz="0" w:space="0" w:color="auto"/>
        <w:left w:val="none" w:sz="0" w:space="0" w:color="auto"/>
        <w:bottom w:val="none" w:sz="0" w:space="0" w:color="auto"/>
        <w:right w:val="none" w:sz="0" w:space="0" w:color="auto"/>
      </w:divBdr>
    </w:div>
    <w:div w:id="61148270">
      <w:bodyDiv w:val="1"/>
      <w:marLeft w:val="0"/>
      <w:marRight w:val="0"/>
      <w:marTop w:val="0"/>
      <w:marBottom w:val="0"/>
      <w:divBdr>
        <w:top w:val="none" w:sz="0" w:space="0" w:color="auto"/>
        <w:left w:val="none" w:sz="0" w:space="0" w:color="auto"/>
        <w:bottom w:val="none" w:sz="0" w:space="0" w:color="auto"/>
        <w:right w:val="none" w:sz="0" w:space="0" w:color="auto"/>
      </w:divBdr>
    </w:div>
    <w:div w:id="94250355">
      <w:bodyDiv w:val="1"/>
      <w:marLeft w:val="0"/>
      <w:marRight w:val="0"/>
      <w:marTop w:val="0"/>
      <w:marBottom w:val="0"/>
      <w:divBdr>
        <w:top w:val="none" w:sz="0" w:space="0" w:color="auto"/>
        <w:left w:val="none" w:sz="0" w:space="0" w:color="auto"/>
        <w:bottom w:val="none" w:sz="0" w:space="0" w:color="auto"/>
        <w:right w:val="none" w:sz="0" w:space="0" w:color="auto"/>
      </w:divBdr>
    </w:div>
    <w:div w:id="123936436">
      <w:bodyDiv w:val="1"/>
      <w:marLeft w:val="0"/>
      <w:marRight w:val="0"/>
      <w:marTop w:val="0"/>
      <w:marBottom w:val="0"/>
      <w:divBdr>
        <w:top w:val="none" w:sz="0" w:space="0" w:color="auto"/>
        <w:left w:val="none" w:sz="0" w:space="0" w:color="auto"/>
        <w:bottom w:val="none" w:sz="0" w:space="0" w:color="auto"/>
        <w:right w:val="none" w:sz="0" w:space="0" w:color="auto"/>
      </w:divBdr>
    </w:div>
    <w:div w:id="133648478">
      <w:bodyDiv w:val="1"/>
      <w:marLeft w:val="0"/>
      <w:marRight w:val="0"/>
      <w:marTop w:val="0"/>
      <w:marBottom w:val="0"/>
      <w:divBdr>
        <w:top w:val="none" w:sz="0" w:space="0" w:color="auto"/>
        <w:left w:val="none" w:sz="0" w:space="0" w:color="auto"/>
        <w:bottom w:val="none" w:sz="0" w:space="0" w:color="auto"/>
        <w:right w:val="none" w:sz="0" w:space="0" w:color="auto"/>
      </w:divBdr>
    </w:div>
    <w:div w:id="184951519">
      <w:bodyDiv w:val="1"/>
      <w:marLeft w:val="0"/>
      <w:marRight w:val="0"/>
      <w:marTop w:val="0"/>
      <w:marBottom w:val="0"/>
      <w:divBdr>
        <w:top w:val="none" w:sz="0" w:space="0" w:color="auto"/>
        <w:left w:val="none" w:sz="0" w:space="0" w:color="auto"/>
        <w:bottom w:val="none" w:sz="0" w:space="0" w:color="auto"/>
        <w:right w:val="none" w:sz="0" w:space="0" w:color="auto"/>
      </w:divBdr>
    </w:div>
    <w:div w:id="200095488">
      <w:bodyDiv w:val="1"/>
      <w:marLeft w:val="0"/>
      <w:marRight w:val="0"/>
      <w:marTop w:val="0"/>
      <w:marBottom w:val="0"/>
      <w:divBdr>
        <w:top w:val="none" w:sz="0" w:space="0" w:color="auto"/>
        <w:left w:val="none" w:sz="0" w:space="0" w:color="auto"/>
        <w:bottom w:val="none" w:sz="0" w:space="0" w:color="auto"/>
        <w:right w:val="none" w:sz="0" w:space="0" w:color="auto"/>
      </w:divBdr>
    </w:div>
    <w:div w:id="237057918">
      <w:bodyDiv w:val="1"/>
      <w:marLeft w:val="0"/>
      <w:marRight w:val="0"/>
      <w:marTop w:val="0"/>
      <w:marBottom w:val="0"/>
      <w:divBdr>
        <w:top w:val="none" w:sz="0" w:space="0" w:color="auto"/>
        <w:left w:val="none" w:sz="0" w:space="0" w:color="auto"/>
        <w:bottom w:val="none" w:sz="0" w:space="0" w:color="auto"/>
        <w:right w:val="none" w:sz="0" w:space="0" w:color="auto"/>
      </w:divBdr>
    </w:div>
    <w:div w:id="238565041">
      <w:bodyDiv w:val="1"/>
      <w:marLeft w:val="0"/>
      <w:marRight w:val="0"/>
      <w:marTop w:val="0"/>
      <w:marBottom w:val="0"/>
      <w:divBdr>
        <w:top w:val="none" w:sz="0" w:space="0" w:color="auto"/>
        <w:left w:val="none" w:sz="0" w:space="0" w:color="auto"/>
        <w:bottom w:val="none" w:sz="0" w:space="0" w:color="auto"/>
        <w:right w:val="none" w:sz="0" w:space="0" w:color="auto"/>
      </w:divBdr>
    </w:div>
    <w:div w:id="251284730">
      <w:bodyDiv w:val="1"/>
      <w:marLeft w:val="0"/>
      <w:marRight w:val="0"/>
      <w:marTop w:val="0"/>
      <w:marBottom w:val="0"/>
      <w:divBdr>
        <w:top w:val="none" w:sz="0" w:space="0" w:color="auto"/>
        <w:left w:val="none" w:sz="0" w:space="0" w:color="auto"/>
        <w:bottom w:val="none" w:sz="0" w:space="0" w:color="auto"/>
        <w:right w:val="none" w:sz="0" w:space="0" w:color="auto"/>
      </w:divBdr>
    </w:div>
    <w:div w:id="267658629">
      <w:bodyDiv w:val="1"/>
      <w:marLeft w:val="0"/>
      <w:marRight w:val="0"/>
      <w:marTop w:val="0"/>
      <w:marBottom w:val="0"/>
      <w:divBdr>
        <w:top w:val="none" w:sz="0" w:space="0" w:color="auto"/>
        <w:left w:val="none" w:sz="0" w:space="0" w:color="auto"/>
        <w:bottom w:val="none" w:sz="0" w:space="0" w:color="auto"/>
        <w:right w:val="none" w:sz="0" w:space="0" w:color="auto"/>
      </w:divBdr>
    </w:div>
    <w:div w:id="323973593">
      <w:bodyDiv w:val="1"/>
      <w:marLeft w:val="0"/>
      <w:marRight w:val="0"/>
      <w:marTop w:val="0"/>
      <w:marBottom w:val="0"/>
      <w:divBdr>
        <w:top w:val="none" w:sz="0" w:space="0" w:color="auto"/>
        <w:left w:val="none" w:sz="0" w:space="0" w:color="auto"/>
        <w:bottom w:val="none" w:sz="0" w:space="0" w:color="auto"/>
        <w:right w:val="none" w:sz="0" w:space="0" w:color="auto"/>
      </w:divBdr>
    </w:div>
    <w:div w:id="331185627">
      <w:bodyDiv w:val="1"/>
      <w:marLeft w:val="0"/>
      <w:marRight w:val="0"/>
      <w:marTop w:val="0"/>
      <w:marBottom w:val="0"/>
      <w:divBdr>
        <w:top w:val="none" w:sz="0" w:space="0" w:color="auto"/>
        <w:left w:val="none" w:sz="0" w:space="0" w:color="auto"/>
        <w:bottom w:val="none" w:sz="0" w:space="0" w:color="auto"/>
        <w:right w:val="none" w:sz="0" w:space="0" w:color="auto"/>
      </w:divBdr>
    </w:div>
    <w:div w:id="374045461">
      <w:bodyDiv w:val="1"/>
      <w:marLeft w:val="0"/>
      <w:marRight w:val="0"/>
      <w:marTop w:val="0"/>
      <w:marBottom w:val="0"/>
      <w:divBdr>
        <w:top w:val="none" w:sz="0" w:space="0" w:color="auto"/>
        <w:left w:val="none" w:sz="0" w:space="0" w:color="auto"/>
        <w:bottom w:val="none" w:sz="0" w:space="0" w:color="auto"/>
        <w:right w:val="none" w:sz="0" w:space="0" w:color="auto"/>
      </w:divBdr>
    </w:div>
    <w:div w:id="454836749">
      <w:bodyDiv w:val="1"/>
      <w:marLeft w:val="0"/>
      <w:marRight w:val="0"/>
      <w:marTop w:val="0"/>
      <w:marBottom w:val="0"/>
      <w:divBdr>
        <w:top w:val="none" w:sz="0" w:space="0" w:color="auto"/>
        <w:left w:val="none" w:sz="0" w:space="0" w:color="auto"/>
        <w:bottom w:val="none" w:sz="0" w:space="0" w:color="auto"/>
        <w:right w:val="none" w:sz="0" w:space="0" w:color="auto"/>
      </w:divBdr>
    </w:div>
    <w:div w:id="485635278">
      <w:bodyDiv w:val="1"/>
      <w:marLeft w:val="0"/>
      <w:marRight w:val="0"/>
      <w:marTop w:val="0"/>
      <w:marBottom w:val="0"/>
      <w:divBdr>
        <w:top w:val="none" w:sz="0" w:space="0" w:color="auto"/>
        <w:left w:val="none" w:sz="0" w:space="0" w:color="auto"/>
        <w:bottom w:val="none" w:sz="0" w:space="0" w:color="auto"/>
        <w:right w:val="none" w:sz="0" w:space="0" w:color="auto"/>
      </w:divBdr>
    </w:div>
    <w:div w:id="508444796">
      <w:bodyDiv w:val="1"/>
      <w:marLeft w:val="0"/>
      <w:marRight w:val="0"/>
      <w:marTop w:val="0"/>
      <w:marBottom w:val="0"/>
      <w:divBdr>
        <w:top w:val="none" w:sz="0" w:space="0" w:color="auto"/>
        <w:left w:val="none" w:sz="0" w:space="0" w:color="auto"/>
        <w:bottom w:val="none" w:sz="0" w:space="0" w:color="auto"/>
        <w:right w:val="none" w:sz="0" w:space="0" w:color="auto"/>
      </w:divBdr>
    </w:div>
    <w:div w:id="559563271">
      <w:bodyDiv w:val="1"/>
      <w:marLeft w:val="0"/>
      <w:marRight w:val="0"/>
      <w:marTop w:val="0"/>
      <w:marBottom w:val="0"/>
      <w:divBdr>
        <w:top w:val="none" w:sz="0" w:space="0" w:color="auto"/>
        <w:left w:val="none" w:sz="0" w:space="0" w:color="auto"/>
        <w:bottom w:val="none" w:sz="0" w:space="0" w:color="auto"/>
        <w:right w:val="none" w:sz="0" w:space="0" w:color="auto"/>
      </w:divBdr>
    </w:div>
    <w:div w:id="581257854">
      <w:bodyDiv w:val="1"/>
      <w:marLeft w:val="0"/>
      <w:marRight w:val="0"/>
      <w:marTop w:val="0"/>
      <w:marBottom w:val="0"/>
      <w:divBdr>
        <w:top w:val="none" w:sz="0" w:space="0" w:color="auto"/>
        <w:left w:val="none" w:sz="0" w:space="0" w:color="auto"/>
        <w:bottom w:val="none" w:sz="0" w:space="0" w:color="auto"/>
        <w:right w:val="none" w:sz="0" w:space="0" w:color="auto"/>
      </w:divBdr>
    </w:div>
    <w:div w:id="635451649">
      <w:bodyDiv w:val="1"/>
      <w:marLeft w:val="0"/>
      <w:marRight w:val="0"/>
      <w:marTop w:val="0"/>
      <w:marBottom w:val="0"/>
      <w:divBdr>
        <w:top w:val="none" w:sz="0" w:space="0" w:color="auto"/>
        <w:left w:val="none" w:sz="0" w:space="0" w:color="auto"/>
        <w:bottom w:val="none" w:sz="0" w:space="0" w:color="auto"/>
        <w:right w:val="none" w:sz="0" w:space="0" w:color="auto"/>
      </w:divBdr>
    </w:div>
    <w:div w:id="700324706">
      <w:bodyDiv w:val="1"/>
      <w:marLeft w:val="0"/>
      <w:marRight w:val="0"/>
      <w:marTop w:val="0"/>
      <w:marBottom w:val="0"/>
      <w:divBdr>
        <w:top w:val="none" w:sz="0" w:space="0" w:color="auto"/>
        <w:left w:val="none" w:sz="0" w:space="0" w:color="auto"/>
        <w:bottom w:val="none" w:sz="0" w:space="0" w:color="auto"/>
        <w:right w:val="none" w:sz="0" w:space="0" w:color="auto"/>
      </w:divBdr>
    </w:div>
    <w:div w:id="726729038">
      <w:bodyDiv w:val="1"/>
      <w:marLeft w:val="0"/>
      <w:marRight w:val="0"/>
      <w:marTop w:val="0"/>
      <w:marBottom w:val="0"/>
      <w:divBdr>
        <w:top w:val="none" w:sz="0" w:space="0" w:color="auto"/>
        <w:left w:val="none" w:sz="0" w:space="0" w:color="auto"/>
        <w:bottom w:val="none" w:sz="0" w:space="0" w:color="auto"/>
        <w:right w:val="none" w:sz="0" w:space="0" w:color="auto"/>
      </w:divBdr>
    </w:div>
    <w:div w:id="742525091">
      <w:bodyDiv w:val="1"/>
      <w:marLeft w:val="0"/>
      <w:marRight w:val="0"/>
      <w:marTop w:val="0"/>
      <w:marBottom w:val="0"/>
      <w:divBdr>
        <w:top w:val="none" w:sz="0" w:space="0" w:color="auto"/>
        <w:left w:val="none" w:sz="0" w:space="0" w:color="auto"/>
        <w:bottom w:val="none" w:sz="0" w:space="0" w:color="auto"/>
        <w:right w:val="none" w:sz="0" w:space="0" w:color="auto"/>
      </w:divBdr>
    </w:div>
    <w:div w:id="791286741">
      <w:bodyDiv w:val="1"/>
      <w:marLeft w:val="0"/>
      <w:marRight w:val="0"/>
      <w:marTop w:val="0"/>
      <w:marBottom w:val="0"/>
      <w:divBdr>
        <w:top w:val="none" w:sz="0" w:space="0" w:color="auto"/>
        <w:left w:val="none" w:sz="0" w:space="0" w:color="auto"/>
        <w:bottom w:val="none" w:sz="0" w:space="0" w:color="auto"/>
        <w:right w:val="none" w:sz="0" w:space="0" w:color="auto"/>
      </w:divBdr>
    </w:div>
    <w:div w:id="866024582">
      <w:bodyDiv w:val="1"/>
      <w:marLeft w:val="0"/>
      <w:marRight w:val="0"/>
      <w:marTop w:val="0"/>
      <w:marBottom w:val="0"/>
      <w:divBdr>
        <w:top w:val="none" w:sz="0" w:space="0" w:color="auto"/>
        <w:left w:val="none" w:sz="0" w:space="0" w:color="auto"/>
        <w:bottom w:val="none" w:sz="0" w:space="0" w:color="auto"/>
        <w:right w:val="none" w:sz="0" w:space="0" w:color="auto"/>
      </w:divBdr>
    </w:div>
    <w:div w:id="881481061">
      <w:bodyDiv w:val="1"/>
      <w:marLeft w:val="0"/>
      <w:marRight w:val="0"/>
      <w:marTop w:val="0"/>
      <w:marBottom w:val="0"/>
      <w:divBdr>
        <w:top w:val="none" w:sz="0" w:space="0" w:color="auto"/>
        <w:left w:val="none" w:sz="0" w:space="0" w:color="auto"/>
        <w:bottom w:val="none" w:sz="0" w:space="0" w:color="auto"/>
        <w:right w:val="none" w:sz="0" w:space="0" w:color="auto"/>
      </w:divBdr>
    </w:div>
    <w:div w:id="909996877">
      <w:bodyDiv w:val="1"/>
      <w:marLeft w:val="0"/>
      <w:marRight w:val="0"/>
      <w:marTop w:val="0"/>
      <w:marBottom w:val="0"/>
      <w:divBdr>
        <w:top w:val="none" w:sz="0" w:space="0" w:color="auto"/>
        <w:left w:val="none" w:sz="0" w:space="0" w:color="auto"/>
        <w:bottom w:val="none" w:sz="0" w:space="0" w:color="auto"/>
        <w:right w:val="none" w:sz="0" w:space="0" w:color="auto"/>
      </w:divBdr>
    </w:div>
    <w:div w:id="958488841">
      <w:bodyDiv w:val="1"/>
      <w:marLeft w:val="0"/>
      <w:marRight w:val="0"/>
      <w:marTop w:val="0"/>
      <w:marBottom w:val="0"/>
      <w:divBdr>
        <w:top w:val="none" w:sz="0" w:space="0" w:color="auto"/>
        <w:left w:val="none" w:sz="0" w:space="0" w:color="auto"/>
        <w:bottom w:val="none" w:sz="0" w:space="0" w:color="auto"/>
        <w:right w:val="none" w:sz="0" w:space="0" w:color="auto"/>
      </w:divBdr>
    </w:div>
    <w:div w:id="985011014">
      <w:bodyDiv w:val="1"/>
      <w:marLeft w:val="0"/>
      <w:marRight w:val="0"/>
      <w:marTop w:val="0"/>
      <w:marBottom w:val="0"/>
      <w:divBdr>
        <w:top w:val="none" w:sz="0" w:space="0" w:color="auto"/>
        <w:left w:val="none" w:sz="0" w:space="0" w:color="auto"/>
        <w:bottom w:val="none" w:sz="0" w:space="0" w:color="auto"/>
        <w:right w:val="none" w:sz="0" w:space="0" w:color="auto"/>
      </w:divBdr>
    </w:div>
    <w:div w:id="1018124013">
      <w:bodyDiv w:val="1"/>
      <w:marLeft w:val="0"/>
      <w:marRight w:val="0"/>
      <w:marTop w:val="0"/>
      <w:marBottom w:val="0"/>
      <w:divBdr>
        <w:top w:val="none" w:sz="0" w:space="0" w:color="auto"/>
        <w:left w:val="none" w:sz="0" w:space="0" w:color="auto"/>
        <w:bottom w:val="none" w:sz="0" w:space="0" w:color="auto"/>
        <w:right w:val="none" w:sz="0" w:space="0" w:color="auto"/>
      </w:divBdr>
    </w:div>
    <w:div w:id="1037584596">
      <w:bodyDiv w:val="1"/>
      <w:marLeft w:val="0"/>
      <w:marRight w:val="0"/>
      <w:marTop w:val="0"/>
      <w:marBottom w:val="0"/>
      <w:divBdr>
        <w:top w:val="none" w:sz="0" w:space="0" w:color="auto"/>
        <w:left w:val="none" w:sz="0" w:space="0" w:color="auto"/>
        <w:bottom w:val="none" w:sz="0" w:space="0" w:color="auto"/>
        <w:right w:val="none" w:sz="0" w:space="0" w:color="auto"/>
      </w:divBdr>
      <w:divsChild>
        <w:div w:id="1373076137">
          <w:marLeft w:val="0"/>
          <w:marRight w:val="0"/>
          <w:marTop w:val="0"/>
          <w:marBottom w:val="0"/>
          <w:divBdr>
            <w:top w:val="none" w:sz="0" w:space="0" w:color="auto"/>
            <w:left w:val="none" w:sz="0" w:space="0" w:color="auto"/>
            <w:bottom w:val="none" w:sz="0" w:space="0" w:color="auto"/>
            <w:right w:val="none" w:sz="0" w:space="0" w:color="auto"/>
          </w:divBdr>
        </w:div>
        <w:div w:id="1177815185">
          <w:marLeft w:val="0"/>
          <w:marRight w:val="0"/>
          <w:marTop w:val="0"/>
          <w:marBottom w:val="0"/>
          <w:divBdr>
            <w:top w:val="none" w:sz="0" w:space="0" w:color="auto"/>
            <w:left w:val="none" w:sz="0" w:space="0" w:color="auto"/>
            <w:bottom w:val="none" w:sz="0" w:space="0" w:color="auto"/>
            <w:right w:val="none" w:sz="0" w:space="0" w:color="auto"/>
          </w:divBdr>
        </w:div>
      </w:divsChild>
    </w:div>
    <w:div w:id="1072043898">
      <w:bodyDiv w:val="1"/>
      <w:marLeft w:val="0"/>
      <w:marRight w:val="0"/>
      <w:marTop w:val="0"/>
      <w:marBottom w:val="0"/>
      <w:divBdr>
        <w:top w:val="none" w:sz="0" w:space="0" w:color="auto"/>
        <w:left w:val="none" w:sz="0" w:space="0" w:color="auto"/>
        <w:bottom w:val="none" w:sz="0" w:space="0" w:color="auto"/>
        <w:right w:val="none" w:sz="0" w:space="0" w:color="auto"/>
      </w:divBdr>
    </w:div>
    <w:div w:id="1107582977">
      <w:bodyDiv w:val="1"/>
      <w:marLeft w:val="0"/>
      <w:marRight w:val="0"/>
      <w:marTop w:val="0"/>
      <w:marBottom w:val="0"/>
      <w:divBdr>
        <w:top w:val="none" w:sz="0" w:space="0" w:color="auto"/>
        <w:left w:val="none" w:sz="0" w:space="0" w:color="auto"/>
        <w:bottom w:val="none" w:sz="0" w:space="0" w:color="auto"/>
        <w:right w:val="none" w:sz="0" w:space="0" w:color="auto"/>
      </w:divBdr>
    </w:div>
    <w:div w:id="1111628679">
      <w:bodyDiv w:val="1"/>
      <w:marLeft w:val="0"/>
      <w:marRight w:val="0"/>
      <w:marTop w:val="0"/>
      <w:marBottom w:val="0"/>
      <w:divBdr>
        <w:top w:val="none" w:sz="0" w:space="0" w:color="auto"/>
        <w:left w:val="none" w:sz="0" w:space="0" w:color="auto"/>
        <w:bottom w:val="none" w:sz="0" w:space="0" w:color="auto"/>
        <w:right w:val="none" w:sz="0" w:space="0" w:color="auto"/>
      </w:divBdr>
    </w:div>
    <w:div w:id="1140878349">
      <w:bodyDiv w:val="1"/>
      <w:marLeft w:val="0"/>
      <w:marRight w:val="0"/>
      <w:marTop w:val="0"/>
      <w:marBottom w:val="0"/>
      <w:divBdr>
        <w:top w:val="none" w:sz="0" w:space="0" w:color="auto"/>
        <w:left w:val="none" w:sz="0" w:space="0" w:color="auto"/>
        <w:bottom w:val="none" w:sz="0" w:space="0" w:color="auto"/>
        <w:right w:val="none" w:sz="0" w:space="0" w:color="auto"/>
      </w:divBdr>
    </w:div>
    <w:div w:id="1183782276">
      <w:bodyDiv w:val="1"/>
      <w:marLeft w:val="0"/>
      <w:marRight w:val="0"/>
      <w:marTop w:val="0"/>
      <w:marBottom w:val="0"/>
      <w:divBdr>
        <w:top w:val="none" w:sz="0" w:space="0" w:color="auto"/>
        <w:left w:val="none" w:sz="0" w:space="0" w:color="auto"/>
        <w:bottom w:val="none" w:sz="0" w:space="0" w:color="auto"/>
        <w:right w:val="none" w:sz="0" w:space="0" w:color="auto"/>
      </w:divBdr>
    </w:div>
    <w:div w:id="1184785089">
      <w:bodyDiv w:val="1"/>
      <w:marLeft w:val="0"/>
      <w:marRight w:val="0"/>
      <w:marTop w:val="0"/>
      <w:marBottom w:val="0"/>
      <w:divBdr>
        <w:top w:val="none" w:sz="0" w:space="0" w:color="auto"/>
        <w:left w:val="none" w:sz="0" w:space="0" w:color="auto"/>
        <w:bottom w:val="none" w:sz="0" w:space="0" w:color="auto"/>
        <w:right w:val="none" w:sz="0" w:space="0" w:color="auto"/>
      </w:divBdr>
    </w:div>
    <w:div w:id="1188638112">
      <w:bodyDiv w:val="1"/>
      <w:marLeft w:val="0"/>
      <w:marRight w:val="0"/>
      <w:marTop w:val="0"/>
      <w:marBottom w:val="0"/>
      <w:divBdr>
        <w:top w:val="none" w:sz="0" w:space="0" w:color="auto"/>
        <w:left w:val="none" w:sz="0" w:space="0" w:color="auto"/>
        <w:bottom w:val="none" w:sz="0" w:space="0" w:color="auto"/>
        <w:right w:val="none" w:sz="0" w:space="0" w:color="auto"/>
      </w:divBdr>
    </w:div>
    <w:div w:id="1196773170">
      <w:bodyDiv w:val="1"/>
      <w:marLeft w:val="0"/>
      <w:marRight w:val="0"/>
      <w:marTop w:val="0"/>
      <w:marBottom w:val="0"/>
      <w:divBdr>
        <w:top w:val="none" w:sz="0" w:space="0" w:color="auto"/>
        <w:left w:val="none" w:sz="0" w:space="0" w:color="auto"/>
        <w:bottom w:val="none" w:sz="0" w:space="0" w:color="auto"/>
        <w:right w:val="none" w:sz="0" w:space="0" w:color="auto"/>
      </w:divBdr>
    </w:div>
    <w:div w:id="1201239989">
      <w:bodyDiv w:val="1"/>
      <w:marLeft w:val="0"/>
      <w:marRight w:val="0"/>
      <w:marTop w:val="0"/>
      <w:marBottom w:val="0"/>
      <w:divBdr>
        <w:top w:val="none" w:sz="0" w:space="0" w:color="auto"/>
        <w:left w:val="none" w:sz="0" w:space="0" w:color="auto"/>
        <w:bottom w:val="none" w:sz="0" w:space="0" w:color="auto"/>
        <w:right w:val="none" w:sz="0" w:space="0" w:color="auto"/>
      </w:divBdr>
    </w:div>
    <w:div w:id="1202940760">
      <w:bodyDiv w:val="1"/>
      <w:marLeft w:val="0"/>
      <w:marRight w:val="0"/>
      <w:marTop w:val="0"/>
      <w:marBottom w:val="0"/>
      <w:divBdr>
        <w:top w:val="none" w:sz="0" w:space="0" w:color="auto"/>
        <w:left w:val="none" w:sz="0" w:space="0" w:color="auto"/>
        <w:bottom w:val="none" w:sz="0" w:space="0" w:color="auto"/>
        <w:right w:val="none" w:sz="0" w:space="0" w:color="auto"/>
      </w:divBdr>
    </w:div>
    <w:div w:id="1222331200">
      <w:bodyDiv w:val="1"/>
      <w:marLeft w:val="0"/>
      <w:marRight w:val="0"/>
      <w:marTop w:val="0"/>
      <w:marBottom w:val="0"/>
      <w:divBdr>
        <w:top w:val="none" w:sz="0" w:space="0" w:color="auto"/>
        <w:left w:val="none" w:sz="0" w:space="0" w:color="auto"/>
        <w:bottom w:val="none" w:sz="0" w:space="0" w:color="auto"/>
        <w:right w:val="none" w:sz="0" w:space="0" w:color="auto"/>
      </w:divBdr>
    </w:div>
    <w:div w:id="1239631678">
      <w:bodyDiv w:val="1"/>
      <w:marLeft w:val="0"/>
      <w:marRight w:val="0"/>
      <w:marTop w:val="0"/>
      <w:marBottom w:val="0"/>
      <w:divBdr>
        <w:top w:val="none" w:sz="0" w:space="0" w:color="auto"/>
        <w:left w:val="none" w:sz="0" w:space="0" w:color="auto"/>
        <w:bottom w:val="none" w:sz="0" w:space="0" w:color="auto"/>
        <w:right w:val="none" w:sz="0" w:space="0" w:color="auto"/>
      </w:divBdr>
      <w:divsChild>
        <w:div w:id="299656651">
          <w:marLeft w:val="360"/>
          <w:marRight w:val="0"/>
          <w:marTop w:val="0"/>
          <w:marBottom w:val="0"/>
          <w:divBdr>
            <w:top w:val="none" w:sz="0" w:space="0" w:color="auto"/>
            <w:left w:val="none" w:sz="0" w:space="0" w:color="auto"/>
            <w:bottom w:val="none" w:sz="0" w:space="0" w:color="auto"/>
            <w:right w:val="none" w:sz="0" w:space="0" w:color="auto"/>
          </w:divBdr>
        </w:div>
        <w:div w:id="1093362285">
          <w:marLeft w:val="720"/>
          <w:marRight w:val="0"/>
          <w:marTop w:val="0"/>
          <w:marBottom w:val="0"/>
          <w:divBdr>
            <w:top w:val="none" w:sz="0" w:space="0" w:color="auto"/>
            <w:left w:val="none" w:sz="0" w:space="0" w:color="auto"/>
            <w:bottom w:val="none" w:sz="0" w:space="0" w:color="auto"/>
            <w:right w:val="none" w:sz="0" w:space="0" w:color="auto"/>
          </w:divBdr>
        </w:div>
        <w:div w:id="112141903">
          <w:marLeft w:val="720"/>
          <w:marRight w:val="0"/>
          <w:marTop w:val="0"/>
          <w:marBottom w:val="0"/>
          <w:divBdr>
            <w:top w:val="none" w:sz="0" w:space="0" w:color="auto"/>
            <w:left w:val="none" w:sz="0" w:space="0" w:color="auto"/>
            <w:bottom w:val="none" w:sz="0" w:space="0" w:color="auto"/>
            <w:right w:val="none" w:sz="0" w:space="0" w:color="auto"/>
          </w:divBdr>
        </w:div>
        <w:div w:id="1161314633">
          <w:marLeft w:val="720"/>
          <w:marRight w:val="0"/>
          <w:marTop w:val="0"/>
          <w:marBottom w:val="0"/>
          <w:divBdr>
            <w:top w:val="none" w:sz="0" w:space="0" w:color="auto"/>
            <w:left w:val="none" w:sz="0" w:space="0" w:color="auto"/>
            <w:bottom w:val="none" w:sz="0" w:space="0" w:color="auto"/>
            <w:right w:val="none" w:sz="0" w:space="0" w:color="auto"/>
          </w:divBdr>
        </w:div>
        <w:div w:id="693383005">
          <w:marLeft w:val="720"/>
          <w:marRight w:val="0"/>
          <w:marTop w:val="0"/>
          <w:marBottom w:val="0"/>
          <w:divBdr>
            <w:top w:val="none" w:sz="0" w:space="0" w:color="auto"/>
            <w:left w:val="none" w:sz="0" w:space="0" w:color="auto"/>
            <w:bottom w:val="none" w:sz="0" w:space="0" w:color="auto"/>
            <w:right w:val="none" w:sz="0" w:space="0" w:color="auto"/>
          </w:divBdr>
        </w:div>
        <w:div w:id="117142911">
          <w:marLeft w:val="720"/>
          <w:marRight w:val="0"/>
          <w:marTop w:val="0"/>
          <w:marBottom w:val="0"/>
          <w:divBdr>
            <w:top w:val="none" w:sz="0" w:space="0" w:color="auto"/>
            <w:left w:val="none" w:sz="0" w:space="0" w:color="auto"/>
            <w:bottom w:val="none" w:sz="0" w:space="0" w:color="auto"/>
            <w:right w:val="none" w:sz="0" w:space="0" w:color="auto"/>
          </w:divBdr>
        </w:div>
        <w:div w:id="751779391">
          <w:marLeft w:val="720"/>
          <w:marRight w:val="0"/>
          <w:marTop w:val="0"/>
          <w:marBottom w:val="0"/>
          <w:divBdr>
            <w:top w:val="none" w:sz="0" w:space="0" w:color="auto"/>
            <w:left w:val="none" w:sz="0" w:space="0" w:color="auto"/>
            <w:bottom w:val="none" w:sz="0" w:space="0" w:color="auto"/>
            <w:right w:val="none" w:sz="0" w:space="0" w:color="auto"/>
          </w:divBdr>
        </w:div>
        <w:div w:id="340819803">
          <w:marLeft w:val="720"/>
          <w:marRight w:val="0"/>
          <w:marTop w:val="0"/>
          <w:marBottom w:val="0"/>
          <w:divBdr>
            <w:top w:val="none" w:sz="0" w:space="0" w:color="auto"/>
            <w:left w:val="none" w:sz="0" w:space="0" w:color="auto"/>
            <w:bottom w:val="none" w:sz="0" w:space="0" w:color="auto"/>
            <w:right w:val="none" w:sz="0" w:space="0" w:color="auto"/>
          </w:divBdr>
        </w:div>
        <w:div w:id="1627348803">
          <w:marLeft w:val="720"/>
          <w:marRight w:val="0"/>
          <w:marTop w:val="0"/>
          <w:marBottom w:val="0"/>
          <w:divBdr>
            <w:top w:val="none" w:sz="0" w:space="0" w:color="auto"/>
            <w:left w:val="none" w:sz="0" w:space="0" w:color="auto"/>
            <w:bottom w:val="none" w:sz="0" w:space="0" w:color="auto"/>
            <w:right w:val="none" w:sz="0" w:space="0" w:color="auto"/>
          </w:divBdr>
        </w:div>
        <w:div w:id="1155029364">
          <w:marLeft w:val="720"/>
          <w:marRight w:val="0"/>
          <w:marTop w:val="0"/>
          <w:marBottom w:val="0"/>
          <w:divBdr>
            <w:top w:val="none" w:sz="0" w:space="0" w:color="auto"/>
            <w:left w:val="none" w:sz="0" w:space="0" w:color="auto"/>
            <w:bottom w:val="none" w:sz="0" w:space="0" w:color="auto"/>
            <w:right w:val="none" w:sz="0" w:space="0" w:color="auto"/>
          </w:divBdr>
        </w:div>
        <w:div w:id="1450584703">
          <w:marLeft w:val="720"/>
          <w:marRight w:val="0"/>
          <w:marTop w:val="0"/>
          <w:marBottom w:val="0"/>
          <w:divBdr>
            <w:top w:val="none" w:sz="0" w:space="0" w:color="auto"/>
            <w:left w:val="none" w:sz="0" w:space="0" w:color="auto"/>
            <w:bottom w:val="none" w:sz="0" w:space="0" w:color="auto"/>
            <w:right w:val="none" w:sz="0" w:space="0" w:color="auto"/>
          </w:divBdr>
        </w:div>
        <w:div w:id="1645626331">
          <w:marLeft w:val="360"/>
          <w:marRight w:val="0"/>
          <w:marTop w:val="0"/>
          <w:marBottom w:val="0"/>
          <w:divBdr>
            <w:top w:val="none" w:sz="0" w:space="0" w:color="auto"/>
            <w:left w:val="none" w:sz="0" w:space="0" w:color="auto"/>
            <w:bottom w:val="none" w:sz="0" w:space="0" w:color="auto"/>
            <w:right w:val="none" w:sz="0" w:space="0" w:color="auto"/>
          </w:divBdr>
        </w:div>
        <w:div w:id="1245069433">
          <w:marLeft w:val="720"/>
          <w:marRight w:val="0"/>
          <w:marTop w:val="0"/>
          <w:marBottom w:val="0"/>
          <w:divBdr>
            <w:top w:val="none" w:sz="0" w:space="0" w:color="auto"/>
            <w:left w:val="none" w:sz="0" w:space="0" w:color="auto"/>
            <w:bottom w:val="none" w:sz="0" w:space="0" w:color="auto"/>
            <w:right w:val="none" w:sz="0" w:space="0" w:color="auto"/>
          </w:divBdr>
        </w:div>
        <w:div w:id="1830168341">
          <w:marLeft w:val="720"/>
          <w:marRight w:val="0"/>
          <w:marTop w:val="0"/>
          <w:marBottom w:val="0"/>
          <w:divBdr>
            <w:top w:val="none" w:sz="0" w:space="0" w:color="auto"/>
            <w:left w:val="none" w:sz="0" w:space="0" w:color="auto"/>
            <w:bottom w:val="none" w:sz="0" w:space="0" w:color="auto"/>
            <w:right w:val="none" w:sz="0" w:space="0" w:color="auto"/>
          </w:divBdr>
        </w:div>
        <w:div w:id="1573812278">
          <w:marLeft w:val="720"/>
          <w:marRight w:val="0"/>
          <w:marTop w:val="0"/>
          <w:marBottom w:val="0"/>
          <w:divBdr>
            <w:top w:val="none" w:sz="0" w:space="0" w:color="auto"/>
            <w:left w:val="none" w:sz="0" w:space="0" w:color="auto"/>
            <w:bottom w:val="none" w:sz="0" w:space="0" w:color="auto"/>
            <w:right w:val="none" w:sz="0" w:space="0" w:color="auto"/>
          </w:divBdr>
        </w:div>
        <w:div w:id="1380789176">
          <w:marLeft w:val="360"/>
          <w:marRight w:val="0"/>
          <w:marTop w:val="0"/>
          <w:marBottom w:val="0"/>
          <w:divBdr>
            <w:top w:val="none" w:sz="0" w:space="0" w:color="auto"/>
            <w:left w:val="none" w:sz="0" w:space="0" w:color="auto"/>
            <w:bottom w:val="none" w:sz="0" w:space="0" w:color="auto"/>
            <w:right w:val="none" w:sz="0" w:space="0" w:color="auto"/>
          </w:divBdr>
        </w:div>
        <w:div w:id="1475100169">
          <w:marLeft w:val="720"/>
          <w:marRight w:val="0"/>
          <w:marTop w:val="0"/>
          <w:marBottom w:val="0"/>
          <w:divBdr>
            <w:top w:val="none" w:sz="0" w:space="0" w:color="auto"/>
            <w:left w:val="none" w:sz="0" w:space="0" w:color="auto"/>
            <w:bottom w:val="none" w:sz="0" w:space="0" w:color="auto"/>
            <w:right w:val="none" w:sz="0" w:space="0" w:color="auto"/>
          </w:divBdr>
        </w:div>
        <w:div w:id="131337523">
          <w:marLeft w:val="720"/>
          <w:marRight w:val="0"/>
          <w:marTop w:val="0"/>
          <w:marBottom w:val="0"/>
          <w:divBdr>
            <w:top w:val="none" w:sz="0" w:space="0" w:color="auto"/>
            <w:left w:val="none" w:sz="0" w:space="0" w:color="auto"/>
            <w:bottom w:val="none" w:sz="0" w:space="0" w:color="auto"/>
            <w:right w:val="none" w:sz="0" w:space="0" w:color="auto"/>
          </w:divBdr>
        </w:div>
        <w:div w:id="1675716701">
          <w:marLeft w:val="720"/>
          <w:marRight w:val="0"/>
          <w:marTop w:val="0"/>
          <w:marBottom w:val="0"/>
          <w:divBdr>
            <w:top w:val="none" w:sz="0" w:space="0" w:color="auto"/>
            <w:left w:val="none" w:sz="0" w:space="0" w:color="auto"/>
            <w:bottom w:val="none" w:sz="0" w:space="0" w:color="auto"/>
            <w:right w:val="none" w:sz="0" w:space="0" w:color="auto"/>
          </w:divBdr>
        </w:div>
        <w:div w:id="1332757214">
          <w:marLeft w:val="0"/>
          <w:marRight w:val="0"/>
          <w:marTop w:val="0"/>
          <w:marBottom w:val="0"/>
          <w:divBdr>
            <w:top w:val="none" w:sz="0" w:space="0" w:color="auto"/>
            <w:left w:val="none" w:sz="0" w:space="0" w:color="auto"/>
            <w:bottom w:val="none" w:sz="0" w:space="0" w:color="auto"/>
            <w:right w:val="none" w:sz="0" w:space="0" w:color="auto"/>
          </w:divBdr>
        </w:div>
        <w:div w:id="1259292576">
          <w:marLeft w:val="0"/>
          <w:marRight w:val="0"/>
          <w:marTop w:val="0"/>
          <w:marBottom w:val="0"/>
          <w:divBdr>
            <w:top w:val="none" w:sz="0" w:space="0" w:color="auto"/>
            <w:left w:val="none" w:sz="0" w:space="0" w:color="auto"/>
            <w:bottom w:val="none" w:sz="0" w:space="0" w:color="auto"/>
            <w:right w:val="none" w:sz="0" w:space="0" w:color="auto"/>
          </w:divBdr>
        </w:div>
        <w:div w:id="1416048303">
          <w:marLeft w:val="0"/>
          <w:marRight w:val="0"/>
          <w:marTop w:val="0"/>
          <w:marBottom w:val="0"/>
          <w:divBdr>
            <w:top w:val="none" w:sz="0" w:space="0" w:color="auto"/>
            <w:left w:val="none" w:sz="0" w:space="0" w:color="auto"/>
            <w:bottom w:val="none" w:sz="0" w:space="0" w:color="auto"/>
            <w:right w:val="none" w:sz="0" w:space="0" w:color="auto"/>
          </w:divBdr>
        </w:div>
        <w:div w:id="299463530">
          <w:marLeft w:val="0"/>
          <w:marRight w:val="0"/>
          <w:marTop w:val="0"/>
          <w:marBottom w:val="0"/>
          <w:divBdr>
            <w:top w:val="none" w:sz="0" w:space="0" w:color="auto"/>
            <w:left w:val="none" w:sz="0" w:space="0" w:color="auto"/>
            <w:bottom w:val="none" w:sz="0" w:space="0" w:color="auto"/>
            <w:right w:val="none" w:sz="0" w:space="0" w:color="auto"/>
          </w:divBdr>
        </w:div>
      </w:divsChild>
    </w:div>
    <w:div w:id="1246494998">
      <w:bodyDiv w:val="1"/>
      <w:marLeft w:val="0"/>
      <w:marRight w:val="0"/>
      <w:marTop w:val="0"/>
      <w:marBottom w:val="0"/>
      <w:divBdr>
        <w:top w:val="none" w:sz="0" w:space="0" w:color="auto"/>
        <w:left w:val="none" w:sz="0" w:space="0" w:color="auto"/>
        <w:bottom w:val="none" w:sz="0" w:space="0" w:color="auto"/>
        <w:right w:val="none" w:sz="0" w:space="0" w:color="auto"/>
      </w:divBdr>
    </w:div>
    <w:div w:id="1331643487">
      <w:bodyDiv w:val="1"/>
      <w:marLeft w:val="0"/>
      <w:marRight w:val="0"/>
      <w:marTop w:val="0"/>
      <w:marBottom w:val="0"/>
      <w:divBdr>
        <w:top w:val="none" w:sz="0" w:space="0" w:color="auto"/>
        <w:left w:val="none" w:sz="0" w:space="0" w:color="auto"/>
        <w:bottom w:val="none" w:sz="0" w:space="0" w:color="auto"/>
        <w:right w:val="none" w:sz="0" w:space="0" w:color="auto"/>
      </w:divBdr>
    </w:div>
    <w:div w:id="1385062654">
      <w:bodyDiv w:val="1"/>
      <w:marLeft w:val="0"/>
      <w:marRight w:val="0"/>
      <w:marTop w:val="0"/>
      <w:marBottom w:val="0"/>
      <w:divBdr>
        <w:top w:val="none" w:sz="0" w:space="0" w:color="auto"/>
        <w:left w:val="none" w:sz="0" w:space="0" w:color="auto"/>
        <w:bottom w:val="none" w:sz="0" w:space="0" w:color="auto"/>
        <w:right w:val="none" w:sz="0" w:space="0" w:color="auto"/>
      </w:divBdr>
    </w:div>
    <w:div w:id="1662418476">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9013573">
      <w:bodyDiv w:val="1"/>
      <w:marLeft w:val="0"/>
      <w:marRight w:val="0"/>
      <w:marTop w:val="0"/>
      <w:marBottom w:val="0"/>
      <w:divBdr>
        <w:top w:val="none" w:sz="0" w:space="0" w:color="auto"/>
        <w:left w:val="none" w:sz="0" w:space="0" w:color="auto"/>
        <w:bottom w:val="none" w:sz="0" w:space="0" w:color="auto"/>
        <w:right w:val="none" w:sz="0" w:space="0" w:color="auto"/>
      </w:divBdr>
    </w:div>
    <w:div w:id="1787119580">
      <w:bodyDiv w:val="1"/>
      <w:marLeft w:val="0"/>
      <w:marRight w:val="0"/>
      <w:marTop w:val="0"/>
      <w:marBottom w:val="0"/>
      <w:divBdr>
        <w:top w:val="none" w:sz="0" w:space="0" w:color="auto"/>
        <w:left w:val="none" w:sz="0" w:space="0" w:color="auto"/>
        <w:bottom w:val="none" w:sz="0" w:space="0" w:color="auto"/>
        <w:right w:val="none" w:sz="0" w:space="0" w:color="auto"/>
      </w:divBdr>
    </w:div>
    <w:div w:id="1793864662">
      <w:bodyDiv w:val="1"/>
      <w:marLeft w:val="0"/>
      <w:marRight w:val="0"/>
      <w:marTop w:val="0"/>
      <w:marBottom w:val="0"/>
      <w:divBdr>
        <w:top w:val="none" w:sz="0" w:space="0" w:color="auto"/>
        <w:left w:val="none" w:sz="0" w:space="0" w:color="auto"/>
        <w:bottom w:val="none" w:sz="0" w:space="0" w:color="auto"/>
        <w:right w:val="none" w:sz="0" w:space="0" w:color="auto"/>
      </w:divBdr>
    </w:div>
    <w:div w:id="1801806381">
      <w:bodyDiv w:val="1"/>
      <w:marLeft w:val="0"/>
      <w:marRight w:val="0"/>
      <w:marTop w:val="0"/>
      <w:marBottom w:val="0"/>
      <w:divBdr>
        <w:top w:val="none" w:sz="0" w:space="0" w:color="auto"/>
        <w:left w:val="none" w:sz="0" w:space="0" w:color="auto"/>
        <w:bottom w:val="none" w:sz="0" w:space="0" w:color="auto"/>
        <w:right w:val="none" w:sz="0" w:space="0" w:color="auto"/>
      </w:divBdr>
    </w:div>
    <w:div w:id="1806778652">
      <w:bodyDiv w:val="1"/>
      <w:marLeft w:val="0"/>
      <w:marRight w:val="0"/>
      <w:marTop w:val="0"/>
      <w:marBottom w:val="0"/>
      <w:divBdr>
        <w:top w:val="none" w:sz="0" w:space="0" w:color="auto"/>
        <w:left w:val="none" w:sz="0" w:space="0" w:color="auto"/>
        <w:bottom w:val="none" w:sz="0" w:space="0" w:color="auto"/>
        <w:right w:val="none" w:sz="0" w:space="0" w:color="auto"/>
      </w:divBdr>
      <w:divsChild>
        <w:div w:id="626745450">
          <w:marLeft w:val="0"/>
          <w:marRight w:val="0"/>
          <w:marTop w:val="0"/>
          <w:marBottom w:val="0"/>
          <w:divBdr>
            <w:top w:val="none" w:sz="0" w:space="0" w:color="auto"/>
            <w:left w:val="none" w:sz="0" w:space="0" w:color="auto"/>
            <w:bottom w:val="none" w:sz="0" w:space="0" w:color="auto"/>
            <w:right w:val="none" w:sz="0" w:space="0" w:color="auto"/>
          </w:divBdr>
        </w:div>
        <w:div w:id="1273900975">
          <w:marLeft w:val="0"/>
          <w:marRight w:val="0"/>
          <w:marTop w:val="0"/>
          <w:marBottom w:val="0"/>
          <w:divBdr>
            <w:top w:val="none" w:sz="0" w:space="0" w:color="auto"/>
            <w:left w:val="none" w:sz="0" w:space="0" w:color="auto"/>
            <w:bottom w:val="none" w:sz="0" w:space="0" w:color="auto"/>
            <w:right w:val="none" w:sz="0" w:space="0" w:color="auto"/>
          </w:divBdr>
        </w:div>
        <w:div w:id="1938295370">
          <w:marLeft w:val="0"/>
          <w:marRight w:val="0"/>
          <w:marTop w:val="0"/>
          <w:marBottom w:val="0"/>
          <w:divBdr>
            <w:top w:val="none" w:sz="0" w:space="0" w:color="auto"/>
            <w:left w:val="none" w:sz="0" w:space="0" w:color="auto"/>
            <w:bottom w:val="none" w:sz="0" w:space="0" w:color="auto"/>
            <w:right w:val="none" w:sz="0" w:space="0" w:color="auto"/>
          </w:divBdr>
        </w:div>
      </w:divsChild>
    </w:div>
    <w:div w:id="1832333185">
      <w:bodyDiv w:val="1"/>
      <w:marLeft w:val="0"/>
      <w:marRight w:val="0"/>
      <w:marTop w:val="0"/>
      <w:marBottom w:val="0"/>
      <w:divBdr>
        <w:top w:val="none" w:sz="0" w:space="0" w:color="auto"/>
        <w:left w:val="none" w:sz="0" w:space="0" w:color="auto"/>
        <w:bottom w:val="none" w:sz="0" w:space="0" w:color="auto"/>
        <w:right w:val="none" w:sz="0" w:space="0" w:color="auto"/>
      </w:divBdr>
    </w:div>
    <w:div w:id="1893154303">
      <w:bodyDiv w:val="1"/>
      <w:marLeft w:val="0"/>
      <w:marRight w:val="0"/>
      <w:marTop w:val="0"/>
      <w:marBottom w:val="0"/>
      <w:divBdr>
        <w:top w:val="none" w:sz="0" w:space="0" w:color="auto"/>
        <w:left w:val="none" w:sz="0" w:space="0" w:color="auto"/>
        <w:bottom w:val="none" w:sz="0" w:space="0" w:color="auto"/>
        <w:right w:val="none" w:sz="0" w:space="0" w:color="auto"/>
      </w:divBdr>
    </w:div>
    <w:div w:id="1934505292">
      <w:bodyDiv w:val="1"/>
      <w:marLeft w:val="0"/>
      <w:marRight w:val="0"/>
      <w:marTop w:val="0"/>
      <w:marBottom w:val="0"/>
      <w:divBdr>
        <w:top w:val="none" w:sz="0" w:space="0" w:color="auto"/>
        <w:left w:val="none" w:sz="0" w:space="0" w:color="auto"/>
        <w:bottom w:val="none" w:sz="0" w:space="0" w:color="auto"/>
        <w:right w:val="none" w:sz="0" w:space="0" w:color="auto"/>
      </w:divBdr>
    </w:div>
    <w:div w:id="1978994022">
      <w:bodyDiv w:val="1"/>
      <w:marLeft w:val="0"/>
      <w:marRight w:val="0"/>
      <w:marTop w:val="0"/>
      <w:marBottom w:val="0"/>
      <w:divBdr>
        <w:top w:val="none" w:sz="0" w:space="0" w:color="auto"/>
        <w:left w:val="none" w:sz="0" w:space="0" w:color="auto"/>
        <w:bottom w:val="none" w:sz="0" w:space="0" w:color="auto"/>
        <w:right w:val="none" w:sz="0" w:space="0" w:color="auto"/>
      </w:divBdr>
    </w:div>
    <w:div w:id="1979912803">
      <w:bodyDiv w:val="1"/>
      <w:marLeft w:val="0"/>
      <w:marRight w:val="0"/>
      <w:marTop w:val="0"/>
      <w:marBottom w:val="0"/>
      <w:divBdr>
        <w:top w:val="none" w:sz="0" w:space="0" w:color="auto"/>
        <w:left w:val="none" w:sz="0" w:space="0" w:color="auto"/>
        <w:bottom w:val="none" w:sz="0" w:space="0" w:color="auto"/>
        <w:right w:val="none" w:sz="0" w:space="0" w:color="auto"/>
      </w:divBdr>
    </w:div>
    <w:div w:id="2026663841">
      <w:bodyDiv w:val="1"/>
      <w:marLeft w:val="0"/>
      <w:marRight w:val="0"/>
      <w:marTop w:val="0"/>
      <w:marBottom w:val="0"/>
      <w:divBdr>
        <w:top w:val="none" w:sz="0" w:space="0" w:color="auto"/>
        <w:left w:val="none" w:sz="0" w:space="0" w:color="auto"/>
        <w:bottom w:val="none" w:sz="0" w:space="0" w:color="auto"/>
        <w:right w:val="none" w:sz="0" w:space="0" w:color="auto"/>
      </w:divBdr>
    </w:div>
    <w:div w:id="2054192945">
      <w:bodyDiv w:val="1"/>
      <w:marLeft w:val="0"/>
      <w:marRight w:val="0"/>
      <w:marTop w:val="0"/>
      <w:marBottom w:val="0"/>
      <w:divBdr>
        <w:top w:val="none" w:sz="0" w:space="0" w:color="auto"/>
        <w:left w:val="none" w:sz="0" w:space="0" w:color="auto"/>
        <w:bottom w:val="none" w:sz="0" w:space="0" w:color="auto"/>
        <w:right w:val="none" w:sz="0" w:space="0" w:color="auto"/>
      </w:divBdr>
    </w:div>
    <w:div w:id="2066223657">
      <w:bodyDiv w:val="1"/>
      <w:marLeft w:val="0"/>
      <w:marRight w:val="0"/>
      <w:marTop w:val="0"/>
      <w:marBottom w:val="0"/>
      <w:divBdr>
        <w:top w:val="none" w:sz="0" w:space="0" w:color="auto"/>
        <w:left w:val="none" w:sz="0" w:space="0" w:color="auto"/>
        <w:bottom w:val="none" w:sz="0" w:space="0" w:color="auto"/>
        <w:right w:val="none" w:sz="0" w:space="0" w:color="auto"/>
      </w:divBdr>
    </w:div>
    <w:div w:id="2076197583">
      <w:bodyDiv w:val="1"/>
      <w:marLeft w:val="0"/>
      <w:marRight w:val="0"/>
      <w:marTop w:val="0"/>
      <w:marBottom w:val="0"/>
      <w:divBdr>
        <w:top w:val="none" w:sz="0" w:space="0" w:color="auto"/>
        <w:left w:val="none" w:sz="0" w:space="0" w:color="auto"/>
        <w:bottom w:val="none" w:sz="0" w:space="0" w:color="auto"/>
        <w:right w:val="none" w:sz="0" w:space="0" w:color="auto"/>
      </w:divBdr>
    </w:div>
    <w:div w:id="21384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ao.ca.gov/Publications/Report/4125" TargetMode="External"/><Relationship Id="rId13" Type="http://schemas.openxmlformats.org/officeDocument/2006/relationships/hyperlink" Target="https://tobaccofreeca.com/issues/secondhand-smoke/what-you-need-to-know-about-all-secondhand-smoke-and-vape/" TargetMode="External"/><Relationship Id="rId18" Type="http://schemas.openxmlformats.org/officeDocument/2006/relationships/hyperlink" Target="https://www.drugpolicy.org/sites/default/files/california-marijuana-policy-equity-recommendations-final_2.pdf" TargetMode="External"/><Relationship Id="rId3" Type="http://schemas.openxmlformats.org/officeDocument/2006/relationships/hyperlink" Target="https://www.nap.edu/catalog/24625/the-health-effects-of-cannabis-and-cannabinoids-the-current-state" TargetMode="External"/><Relationship Id="rId7" Type="http://schemas.openxmlformats.org/officeDocument/2006/relationships/hyperlink" Target="https://lao.ca.gov/Publications/Report/4125" TargetMode="External"/><Relationship Id="rId12" Type="http://schemas.openxmlformats.org/officeDocument/2006/relationships/hyperlink" Target="https://bcc.ca.gov/about_us/documents/cac_annual_report_2019.pdf" TargetMode="External"/><Relationship Id="rId17" Type="http://schemas.openxmlformats.org/officeDocument/2006/relationships/hyperlink" Target="https://www.equityfirstalliance.org/national-letter" TargetMode="External"/><Relationship Id="rId2" Type="http://schemas.openxmlformats.org/officeDocument/2006/relationships/hyperlink" Target="https://cpb-us-w2.wpmucdn.com/sites.wustl.edu/dist/e/1037/files/2004/11/CPHSS_TCLC_2014_PointofSaleStrategies1-2jps9wj.pdf" TargetMode="External"/><Relationship Id="rId16" Type="http://schemas.openxmlformats.org/officeDocument/2006/relationships/hyperlink" Target="https://vig.cdn.sos.ca.gov/2016/general/en/pdf/complete-vig.pdf" TargetMode="External"/><Relationship Id="rId1" Type="http://schemas.openxmlformats.org/officeDocument/2006/relationships/hyperlink" Target="https://www.nap.edu/catalog/24625/the-health-effects-of-cannabis-and-cannabinoids-the-current-state" TargetMode="External"/><Relationship Id="rId6" Type="http://schemas.openxmlformats.org/officeDocument/2006/relationships/hyperlink" Target="https://www-ncbi-nlm-nih-gov.ucsf.idm.oclc.org/pubmed/27992619" TargetMode="External"/><Relationship Id="rId11" Type="http://schemas.openxmlformats.org/officeDocument/2006/relationships/hyperlink" Target="https://www.tobaccofreekids.org/assets/factsheets/0146.pdf" TargetMode="External"/><Relationship Id="rId5" Type="http://schemas.openxmlformats.org/officeDocument/2006/relationships/hyperlink" Target="https://www.changelabsolutions.org/sites/default/files/CLS-BG214-Tobacco_Retail_Density-Factsheet_FINAL_20190131.pdf" TargetMode="External"/><Relationship Id="rId15" Type="http://schemas.openxmlformats.org/officeDocument/2006/relationships/hyperlink" Target="https://www.cdc.gov/tobacco/data_statistics/fact_sheets/secondhand_smoke/protection/air_quality/index.htm" TargetMode="External"/><Relationship Id="rId10" Type="http://schemas.openxmlformats.org/officeDocument/2006/relationships/hyperlink" Target="https://lao.ca.gov/Publications/Report/4125" TargetMode="External"/><Relationship Id="rId19" Type="http://schemas.openxmlformats.org/officeDocument/2006/relationships/hyperlink" Target="https://www.ama-assn.org/delivering-care/ethics/conflicts-interest-patient-care" TargetMode="External"/><Relationship Id="rId4" Type="http://schemas.openxmlformats.org/officeDocument/2006/relationships/hyperlink" Target="https://www.gettingitrightfromthestart.org/our-work-1" TargetMode="External"/><Relationship Id="rId9" Type="http://schemas.openxmlformats.org/officeDocument/2006/relationships/hyperlink" Target="https://lao.ca.gov/Publications/Report/4125" TargetMode="External"/><Relationship Id="rId14" Type="http://schemas.openxmlformats.org/officeDocument/2006/relationships/hyperlink" Target="https://www.cdc.gov/tobacco/data_statistics/fact_sheets/secondhand_smoke/health_effects/index.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6130356120428258E-2"/>
          <c:y val="0.890625"/>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Sheet1!$B$1</c:f>
              <c:strCache>
                <c:ptCount val="1"/>
                <c:pt idx="0">
                  <c:v>Score Breakdown</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291A-D349-BD49-491778623532}"/>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2-291A-D349-BD49-491778623532}"/>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291A-D349-BD49-491778623532}"/>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493C-244D-8529-1D2572E2EFB5}"/>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291A-D349-BD49-491778623532}"/>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3-291A-D349-BD49-491778623532}"/>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493C-244D-8529-1D2572E2EFB5}"/>
              </c:ext>
            </c:extLst>
          </c:dPt>
          <c:dLbls>
            <c:dLbl>
              <c:idx val="0"/>
              <c:layout>
                <c:manualLayout>
                  <c:x val="-0.15416757028119976"/>
                  <c:y val="0.1869463582677165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291A-D349-BD49-491778623532}"/>
                </c:ext>
              </c:extLst>
            </c:dLbl>
            <c:dLbl>
              <c:idx val="1"/>
              <c:layout>
                <c:manualLayout>
                  <c:x val="-0.11926856374440853"/>
                  <c:y val="-0.1623683562992127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91A-D349-BD49-491778623532}"/>
                </c:ext>
              </c:extLst>
            </c:dLbl>
            <c:dLbl>
              <c:idx val="2"/>
              <c:layout>
                <c:manualLayout>
                  <c:x val="9.8041814152817292E-2"/>
                  <c:y val="-0.148209584153543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91A-D349-BD49-491778623532}"/>
                </c:ext>
              </c:extLst>
            </c:dLbl>
            <c:dLbl>
              <c:idx val="4"/>
              <c:layout>
                <c:manualLayout>
                  <c:x val="1.1665632044957036E-3"/>
                  <c:y val="5.75753567913385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91A-D349-BD49-491778623532}"/>
                </c:ext>
              </c:extLst>
            </c:dLbl>
            <c:dLbl>
              <c:idx val="5"/>
              <c:layout>
                <c:manualLayout>
                  <c:x val="7.9780746219264218E-2"/>
                  <c:y val="1.730437992125979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268680367236254"/>
                      <c:h val="0.18732437253937007"/>
                    </c:manualLayout>
                  </c15:layout>
                </c:ext>
                <c:ext xmlns:c16="http://schemas.microsoft.com/office/drawing/2014/chart" uri="{C3380CC4-5D6E-409C-BE32-E72D297353CC}">
                  <c16:uniqueId val="{00000003-291A-D349-BD49-4917786235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Sheet1!$A$2:$A$8</c:f>
              <c:strCache>
                <c:ptCount val="6"/>
                <c:pt idx="0">
                  <c:v>Retailer Requirements</c:v>
                </c:pt>
                <c:pt idx="1">
                  <c:v>Taxes and Prices</c:v>
                </c:pt>
                <c:pt idx="2">
                  <c:v>Product Limitations</c:v>
                </c:pt>
                <c:pt idx="3">
                  <c:v>Marketing</c:v>
                </c:pt>
                <c:pt idx="4">
                  <c:v>Smoke-Free Air</c:v>
                </c:pt>
                <c:pt idx="5">
                  <c:v>Conflicts of Interest &amp; Equity</c:v>
                </c:pt>
              </c:strCache>
            </c:strRef>
          </c:cat>
          <c:val>
            <c:numRef>
              <c:f>Sheet1!$B$2:$B$8</c:f>
              <c:numCache>
                <c:formatCode>General</c:formatCode>
                <c:ptCount val="7"/>
                <c:pt idx="0">
                  <c:v>28</c:v>
                </c:pt>
                <c:pt idx="1">
                  <c:v>19</c:v>
                </c:pt>
                <c:pt idx="2">
                  <c:v>19</c:v>
                </c:pt>
                <c:pt idx="3">
                  <c:v>18</c:v>
                </c:pt>
                <c:pt idx="4">
                  <c:v>8</c:v>
                </c:pt>
                <c:pt idx="5">
                  <c:v>8</c:v>
                </c:pt>
              </c:numCache>
            </c:numRef>
          </c:val>
          <c:extLst>
            <c:ext xmlns:c16="http://schemas.microsoft.com/office/drawing/2014/chart" uri="{C3380CC4-5D6E-409C-BE32-E72D297353CC}">
              <c16:uniqueId val="{00000000-291A-D349-BD49-491778623532}"/>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8382</Words>
  <Characters>47782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Naprawa</dc:creator>
  <cp:keywords/>
  <dc:description/>
  <cp:lastModifiedBy>Padon, Alisa A</cp:lastModifiedBy>
  <cp:revision>3</cp:revision>
  <cp:lastPrinted>2020-02-04T18:06:00Z</cp:lastPrinted>
  <dcterms:created xsi:type="dcterms:W3CDTF">2020-08-18T20:45:00Z</dcterms:created>
  <dcterms:modified xsi:type="dcterms:W3CDTF">2020-08-18T20:49:00Z</dcterms:modified>
</cp:coreProperties>
</file>